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B3254" w14:textId="0BC89363" w:rsidR="00D068F5" w:rsidRDefault="00D068F5" w:rsidP="00804317">
      <w:pPr>
        <w:pStyle w:val="Heading1"/>
        <w:spacing w:line="240" w:lineRule="auto"/>
      </w:pPr>
      <w:r>
        <w:t xml:space="preserve">IN </w:t>
      </w:r>
      <w:r w:rsidR="00D83296">
        <w:t xml:space="preserve">THE </w:t>
      </w:r>
      <w:r w:rsidR="00761E16">
        <w:t>MATTER OF:</w:t>
      </w:r>
    </w:p>
    <w:p w14:paraId="77369A20" w14:textId="77777777" w:rsidR="00D068F5" w:rsidRPr="00421BA4" w:rsidRDefault="00D83296" w:rsidP="00421BA4">
      <w:pPr>
        <w:jc w:val="right"/>
        <w:rPr>
          <w:b/>
          <w:bCs/>
          <w:u w:val="single"/>
        </w:rPr>
      </w:pPr>
      <w:r w:rsidRPr="00D83296">
        <w:rPr>
          <w:b/>
          <w:bCs/>
          <w:u w:val="single"/>
        </w:rPr>
        <w:t xml:space="preserve">Claim No. </w:t>
      </w:r>
    </w:p>
    <w:p w14:paraId="04C3C71F" w14:textId="1C538B5B" w:rsidR="00D068F5" w:rsidRDefault="00D83296" w:rsidP="00804317">
      <w:pPr>
        <w:widowControl w:val="0"/>
        <w:spacing w:line="240" w:lineRule="auto"/>
        <w:ind w:left="450" w:hanging="450"/>
      </w:pPr>
      <w:r>
        <w:t>B E T W E E N:</w:t>
      </w:r>
    </w:p>
    <w:p w14:paraId="65BAAFB9" w14:textId="4DDD07BD" w:rsidR="00D068F5" w:rsidRDefault="00761E16" w:rsidP="00804317">
      <w:pPr>
        <w:widowControl w:val="0"/>
        <w:tabs>
          <w:tab w:val="left" w:pos="1980"/>
        </w:tabs>
        <w:spacing w:line="240" w:lineRule="auto"/>
        <w:ind w:left="450" w:hanging="450"/>
        <w:jc w:val="center"/>
      </w:pPr>
      <w:r>
        <w:t>VLADIMIR VASILENKO</w:t>
      </w:r>
    </w:p>
    <w:p w14:paraId="45F446A4" w14:textId="77777777" w:rsidR="00804317" w:rsidRPr="00D83296" w:rsidRDefault="00D068F5" w:rsidP="00D83296">
      <w:pPr>
        <w:widowControl w:val="0"/>
        <w:spacing w:line="240" w:lineRule="auto"/>
        <w:ind w:left="450" w:hanging="450"/>
        <w:jc w:val="right"/>
        <w:rPr>
          <w:b/>
          <w:u w:val="single"/>
        </w:rPr>
      </w:pPr>
      <w:r>
        <w:rPr>
          <w:b/>
          <w:u w:val="single"/>
        </w:rPr>
        <w:t>Claimant</w:t>
      </w:r>
    </w:p>
    <w:p w14:paraId="07B86613" w14:textId="77777777" w:rsidR="00317F29" w:rsidRDefault="00317F29" w:rsidP="00804317">
      <w:pPr>
        <w:widowControl w:val="0"/>
        <w:spacing w:line="240" w:lineRule="auto"/>
        <w:ind w:left="450" w:hanging="450"/>
        <w:jc w:val="center"/>
      </w:pPr>
    </w:p>
    <w:p w14:paraId="4746D3C6" w14:textId="3972E498" w:rsidR="00D068F5" w:rsidRDefault="00D068F5" w:rsidP="00804317">
      <w:pPr>
        <w:widowControl w:val="0"/>
        <w:spacing w:line="240" w:lineRule="auto"/>
        <w:ind w:left="450" w:hanging="450"/>
        <w:jc w:val="center"/>
      </w:pPr>
      <w:r>
        <w:t>-and-</w:t>
      </w:r>
    </w:p>
    <w:p w14:paraId="033736BD" w14:textId="4830ABFC" w:rsidR="00D068F5" w:rsidRDefault="00D068F5" w:rsidP="00804317">
      <w:pPr>
        <w:widowControl w:val="0"/>
        <w:spacing w:line="240" w:lineRule="auto"/>
        <w:ind w:left="450" w:hanging="450"/>
        <w:jc w:val="center"/>
      </w:pPr>
    </w:p>
    <w:p w14:paraId="0E42CE86" w14:textId="77777777" w:rsidR="00317F29" w:rsidRDefault="00317F29" w:rsidP="00804317">
      <w:pPr>
        <w:widowControl w:val="0"/>
        <w:spacing w:line="240" w:lineRule="auto"/>
        <w:ind w:left="450" w:hanging="450"/>
        <w:jc w:val="center"/>
      </w:pPr>
    </w:p>
    <w:p w14:paraId="783BA209" w14:textId="279CECC0" w:rsidR="00804317" w:rsidRDefault="00761E16" w:rsidP="00804317">
      <w:pPr>
        <w:widowControl w:val="0"/>
        <w:spacing w:line="240" w:lineRule="auto"/>
        <w:ind w:left="450" w:hanging="450"/>
        <w:jc w:val="center"/>
      </w:pPr>
      <w:r>
        <w:t>VITABEAM LIMITED</w:t>
      </w:r>
    </w:p>
    <w:p w14:paraId="22C42803" w14:textId="77777777" w:rsidR="00D068F5" w:rsidRDefault="00D068F5" w:rsidP="00804317">
      <w:pPr>
        <w:widowControl w:val="0"/>
        <w:spacing w:line="240" w:lineRule="auto"/>
        <w:ind w:left="450" w:hanging="450"/>
        <w:jc w:val="right"/>
        <w:rPr>
          <w:b/>
          <w:u w:val="single"/>
        </w:rPr>
      </w:pPr>
      <w:r>
        <w:rPr>
          <w:b/>
          <w:u w:val="single"/>
        </w:rPr>
        <w:t>Defendant</w:t>
      </w:r>
    </w:p>
    <w:p w14:paraId="5A3FC57E" w14:textId="77777777" w:rsidR="00D068F5" w:rsidRDefault="00D068F5" w:rsidP="00804317">
      <w:pPr>
        <w:widowControl w:val="0"/>
        <w:spacing w:line="240" w:lineRule="auto"/>
        <w:ind w:left="450" w:hanging="450"/>
        <w:jc w:val="center"/>
        <w:rPr>
          <w:b/>
        </w:rPr>
      </w:pPr>
      <w:r>
        <w:rPr>
          <w:b/>
        </w:rPr>
        <w:t>___</w:t>
      </w:r>
      <w:r w:rsidR="00E074A8">
        <w:rPr>
          <w:b/>
        </w:rPr>
        <w:t>______</w:t>
      </w:r>
      <w:r>
        <w:rPr>
          <w:b/>
        </w:rPr>
        <w:t>________________________</w:t>
      </w:r>
    </w:p>
    <w:p w14:paraId="5B885AC6" w14:textId="77777777" w:rsidR="00D068F5" w:rsidRDefault="00D068F5" w:rsidP="00804317">
      <w:pPr>
        <w:widowControl w:val="0"/>
        <w:spacing w:line="240" w:lineRule="auto"/>
        <w:ind w:left="450" w:hanging="450"/>
        <w:jc w:val="center"/>
        <w:rPr>
          <w:b/>
        </w:rPr>
      </w:pPr>
    </w:p>
    <w:p w14:paraId="190F3C44" w14:textId="77777777" w:rsidR="00D068F5" w:rsidRDefault="001002FA" w:rsidP="00804317">
      <w:pPr>
        <w:widowControl w:val="0"/>
        <w:spacing w:line="240" w:lineRule="auto"/>
        <w:ind w:left="450" w:hanging="450"/>
        <w:jc w:val="center"/>
        <w:rPr>
          <w:b/>
        </w:rPr>
      </w:pPr>
      <w:r>
        <w:rPr>
          <w:b/>
        </w:rPr>
        <w:t>A D V I C E</w:t>
      </w:r>
    </w:p>
    <w:p w14:paraId="7887CA7A" w14:textId="77777777" w:rsidR="00D068F5" w:rsidRDefault="00E074A8" w:rsidP="00804317">
      <w:pPr>
        <w:widowControl w:val="0"/>
        <w:spacing w:line="240" w:lineRule="auto"/>
        <w:ind w:left="450" w:hanging="450"/>
        <w:jc w:val="center"/>
        <w:rPr>
          <w:b/>
        </w:rPr>
      </w:pPr>
      <w:r>
        <w:rPr>
          <w:b/>
        </w:rPr>
        <w:t>______</w:t>
      </w:r>
      <w:r w:rsidR="00D068F5">
        <w:rPr>
          <w:b/>
        </w:rPr>
        <w:t>___________________________</w:t>
      </w:r>
    </w:p>
    <w:p w14:paraId="0C6F98FE" w14:textId="77777777" w:rsidR="001002FA" w:rsidRDefault="001002FA" w:rsidP="00C879EB">
      <w:pPr>
        <w:widowControl w:val="0"/>
        <w:spacing w:line="480" w:lineRule="atLeast"/>
        <w:rPr>
          <w:sz w:val="20"/>
        </w:rPr>
      </w:pPr>
    </w:p>
    <w:p w14:paraId="34BFC7AB" w14:textId="1DF5B3E6" w:rsidR="00B42080" w:rsidRPr="00B42080" w:rsidRDefault="00761E16" w:rsidP="00B42080">
      <w:pPr>
        <w:widowControl w:val="0"/>
        <w:numPr>
          <w:ilvl w:val="0"/>
          <w:numId w:val="1"/>
        </w:numPr>
        <w:spacing w:after="360" w:line="480" w:lineRule="auto"/>
      </w:pPr>
      <w:r>
        <w:rPr>
          <w:bCs/>
        </w:rPr>
        <w:t xml:space="preserve">I am asked to advise </w:t>
      </w:r>
      <w:r w:rsidR="009E7E7C">
        <w:rPr>
          <w:bCs/>
        </w:rPr>
        <w:t xml:space="preserve">Dr </w:t>
      </w:r>
      <w:r>
        <w:rPr>
          <w:bCs/>
        </w:rPr>
        <w:t xml:space="preserve">Vladimir Vasilenko on the </w:t>
      </w:r>
      <w:r w:rsidR="009E7E7C">
        <w:rPr>
          <w:bCs/>
        </w:rPr>
        <w:t>merits of various potential claims he has against Vitabeam Limited</w:t>
      </w:r>
      <w:r w:rsidR="00702BD5">
        <w:rPr>
          <w:bCs/>
        </w:rPr>
        <w:t xml:space="preserve"> </w:t>
      </w:r>
      <w:r w:rsidR="009E7E7C">
        <w:rPr>
          <w:bCs/>
        </w:rPr>
        <w:t xml:space="preserve">and/or its director James Millichap Merrick </w:t>
      </w:r>
      <w:r w:rsidR="001F6145">
        <w:rPr>
          <w:bCs/>
        </w:rPr>
        <w:t xml:space="preserve">(‘JMM’) </w:t>
      </w:r>
      <w:r w:rsidR="009E7E7C">
        <w:rPr>
          <w:bCs/>
        </w:rPr>
        <w:t>relation</w:t>
      </w:r>
      <w:r w:rsidR="00012E24">
        <w:rPr>
          <w:bCs/>
        </w:rPr>
        <w:t xml:space="preserve"> to </w:t>
      </w:r>
      <w:r w:rsidR="00702BD5">
        <w:rPr>
          <w:bCs/>
        </w:rPr>
        <w:t>Dr Vasilenko’s</w:t>
      </w:r>
      <w:r w:rsidR="00012E24">
        <w:rPr>
          <w:bCs/>
        </w:rPr>
        <w:t xml:space="preserve"> </w:t>
      </w:r>
      <w:r w:rsidR="009E7E7C">
        <w:rPr>
          <w:bCs/>
        </w:rPr>
        <w:t xml:space="preserve">minority </w:t>
      </w:r>
      <w:r w:rsidR="00012E24">
        <w:rPr>
          <w:bCs/>
        </w:rPr>
        <w:t>shareholding of</w:t>
      </w:r>
      <w:r>
        <w:rPr>
          <w:bCs/>
        </w:rPr>
        <w:t xml:space="preserve"> Vitabeam </w:t>
      </w:r>
      <w:r w:rsidR="007B5703">
        <w:rPr>
          <w:bCs/>
        </w:rPr>
        <w:t>L</w:t>
      </w:r>
      <w:r>
        <w:rPr>
          <w:bCs/>
        </w:rPr>
        <w:t xml:space="preserve">imited, </w:t>
      </w:r>
      <w:r w:rsidR="009E7E7C">
        <w:rPr>
          <w:bCs/>
        </w:rPr>
        <w:t>which has been diluted as a result of actions taken</w:t>
      </w:r>
      <w:r>
        <w:rPr>
          <w:bCs/>
        </w:rPr>
        <w:t xml:space="preserve"> by the directors, in particular </w:t>
      </w:r>
      <w:r w:rsidR="001F6145">
        <w:rPr>
          <w:bCs/>
        </w:rPr>
        <w:t>JMM</w:t>
      </w:r>
      <w:r w:rsidR="00702BD5">
        <w:rPr>
          <w:bCs/>
        </w:rPr>
        <w:t>,</w:t>
      </w:r>
      <w:r w:rsidR="009E7E7C">
        <w:rPr>
          <w:bCs/>
        </w:rPr>
        <w:t xml:space="preserve"> and which </w:t>
      </w:r>
      <w:r w:rsidR="00702BD5">
        <w:rPr>
          <w:bCs/>
        </w:rPr>
        <w:t xml:space="preserve">company </w:t>
      </w:r>
      <w:r w:rsidR="009E7E7C">
        <w:rPr>
          <w:bCs/>
        </w:rPr>
        <w:t>has apparently been operated without proper regard to the term of the Articles of Association or the interests of its shareholders, in particular Dr Vasilenko</w:t>
      </w:r>
      <w:r w:rsidR="007732D8">
        <w:rPr>
          <w:bCs/>
        </w:rPr>
        <w:t>.</w:t>
      </w:r>
    </w:p>
    <w:p w14:paraId="2F911A4F" w14:textId="3800512B" w:rsidR="00B42080" w:rsidRPr="00B42080" w:rsidRDefault="00B42080" w:rsidP="00B42080">
      <w:pPr>
        <w:widowControl w:val="0"/>
        <w:numPr>
          <w:ilvl w:val="0"/>
          <w:numId w:val="1"/>
        </w:numPr>
        <w:spacing w:after="360" w:line="480" w:lineRule="auto"/>
      </w:pPr>
      <w:r w:rsidRPr="00B42080">
        <w:rPr>
          <w:bCs/>
        </w:rPr>
        <w:t xml:space="preserve">I have now </w:t>
      </w:r>
      <w:r w:rsidR="009E7E7C">
        <w:rPr>
          <w:bCs/>
        </w:rPr>
        <w:t>spoken to</w:t>
      </w:r>
      <w:r w:rsidRPr="00B42080">
        <w:rPr>
          <w:bCs/>
        </w:rPr>
        <w:t xml:space="preserve"> </w:t>
      </w:r>
      <w:r w:rsidR="007B2B3F">
        <w:rPr>
          <w:bCs/>
        </w:rPr>
        <w:t>Dr</w:t>
      </w:r>
      <w:r w:rsidRPr="00B42080">
        <w:rPr>
          <w:bCs/>
        </w:rPr>
        <w:t xml:space="preserve"> Vasilenko </w:t>
      </w:r>
      <w:r w:rsidR="009E7E7C">
        <w:rPr>
          <w:bCs/>
        </w:rPr>
        <w:t>twice</w:t>
      </w:r>
      <w:r w:rsidRPr="00B42080">
        <w:rPr>
          <w:bCs/>
        </w:rPr>
        <w:t xml:space="preserve"> in conference; once, on 26 January 2022 when instructed by his former solicitors, England Palmer and more recently on 12 September</w:t>
      </w:r>
      <w:r w:rsidR="009E7E7C">
        <w:rPr>
          <w:bCs/>
        </w:rPr>
        <w:t xml:space="preserve"> 2022</w:t>
      </w:r>
      <w:r w:rsidRPr="00B42080">
        <w:rPr>
          <w:bCs/>
        </w:rPr>
        <w:t xml:space="preserve">, instructed by those instructing me now.  </w:t>
      </w:r>
    </w:p>
    <w:p w14:paraId="24A34571" w14:textId="3D0CBF36" w:rsidR="00B42080" w:rsidRPr="00D90DAB" w:rsidRDefault="00B42080" w:rsidP="00B42080">
      <w:pPr>
        <w:widowControl w:val="0"/>
        <w:numPr>
          <w:ilvl w:val="0"/>
          <w:numId w:val="1"/>
        </w:numPr>
        <w:spacing w:after="360" w:line="480" w:lineRule="auto"/>
      </w:pPr>
      <w:r>
        <w:rPr>
          <w:bCs/>
        </w:rPr>
        <w:t xml:space="preserve">I also drafted a letter of claim addressed to Vitabeam and </w:t>
      </w:r>
      <w:r w:rsidR="001F6145">
        <w:rPr>
          <w:bCs/>
        </w:rPr>
        <w:t>JMM</w:t>
      </w:r>
      <w:r>
        <w:rPr>
          <w:bCs/>
        </w:rPr>
        <w:t xml:space="preserve"> </w:t>
      </w:r>
      <w:r w:rsidR="00D90DAB">
        <w:rPr>
          <w:bCs/>
        </w:rPr>
        <w:t xml:space="preserve">which was </w:t>
      </w:r>
      <w:r w:rsidR="009E7E7C">
        <w:rPr>
          <w:bCs/>
        </w:rPr>
        <w:t>despatched</w:t>
      </w:r>
      <w:r w:rsidR="00D90DAB">
        <w:rPr>
          <w:bCs/>
        </w:rPr>
        <w:t xml:space="preserve"> by England Palmer but to which they receive</w:t>
      </w:r>
      <w:r w:rsidR="009E7E7C">
        <w:rPr>
          <w:bCs/>
        </w:rPr>
        <w:t>d no</w:t>
      </w:r>
      <w:r w:rsidR="00D90DAB">
        <w:rPr>
          <w:bCs/>
        </w:rPr>
        <w:t xml:space="preserve"> respons</w:t>
      </w:r>
      <w:r w:rsidR="009E7E7C">
        <w:rPr>
          <w:bCs/>
        </w:rPr>
        <w:t>e</w:t>
      </w:r>
      <w:r w:rsidR="00D90DAB">
        <w:rPr>
          <w:bCs/>
        </w:rPr>
        <w:t>.</w:t>
      </w:r>
    </w:p>
    <w:p w14:paraId="5524D313" w14:textId="65269D64" w:rsidR="00D90DAB" w:rsidRPr="00D90DAB" w:rsidRDefault="00D90DAB" w:rsidP="00D90DAB">
      <w:pPr>
        <w:pStyle w:val="AdviceBoldheading"/>
      </w:pPr>
      <w:r w:rsidRPr="00D90DAB">
        <w:t>Background</w:t>
      </w:r>
    </w:p>
    <w:p w14:paraId="4BE5CA5B" w14:textId="3FBE7623" w:rsidR="00197358" w:rsidRDefault="009E7E7C" w:rsidP="0089351F">
      <w:pPr>
        <w:pStyle w:val="1Adviceparalargegap"/>
      </w:pPr>
      <w:r>
        <w:t>T</w:t>
      </w:r>
      <w:r w:rsidR="00A85F58">
        <w:t xml:space="preserve">he genesis of </w:t>
      </w:r>
      <w:proofErr w:type="spellStart"/>
      <w:r w:rsidR="00A85F58">
        <w:t>Vitabeam</w:t>
      </w:r>
      <w:proofErr w:type="spellEnd"/>
      <w:r w:rsidR="00A85F58">
        <w:t xml:space="preserve"> and, more particularly, </w:t>
      </w:r>
      <w:r w:rsidR="007B2B3F">
        <w:t>Dr</w:t>
      </w:r>
      <w:r w:rsidR="002C06B1">
        <w:t xml:space="preserve"> Vasilenko’s relationship to it and </w:t>
      </w:r>
      <w:r>
        <w:t>his</w:t>
      </w:r>
      <w:r w:rsidR="00A85F58">
        <w:t xml:space="preserve"> shareholding is rather opaque.  Before </w:t>
      </w:r>
      <w:r w:rsidR="007B2B3F">
        <w:t>Dr</w:t>
      </w:r>
      <w:r w:rsidR="00197358">
        <w:t xml:space="preserve"> Vasilenko became involved he had incorporate</w:t>
      </w:r>
      <w:r w:rsidR="002068F7">
        <w:t>d</w:t>
      </w:r>
      <w:r w:rsidR="00197358">
        <w:t xml:space="preserve"> </w:t>
      </w:r>
      <w:r w:rsidR="00197358">
        <w:lastRenderedPageBreak/>
        <w:t>a company in Canada</w:t>
      </w:r>
      <w:r w:rsidR="002068F7">
        <w:t xml:space="preserve"> known as Purifying Illuminations Inc. (‘</w:t>
      </w:r>
      <w:r w:rsidR="001F6145">
        <w:t>PI’</w:t>
      </w:r>
      <w:r w:rsidR="002068F7">
        <w:t>)</w:t>
      </w:r>
      <w:r w:rsidR="00197358">
        <w:t xml:space="preserve"> of which, I am told, he was the sole director and shareholder</w:t>
      </w:r>
      <w:r w:rsidR="002068F7">
        <w:t xml:space="preserve">.  At the time </w:t>
      </w:r>
      <w:r w:rsidR="007B2B3F">
        <w:t>Dr</w:t>
      </w:r>
      <w:r w:rsidR="002068F7">
        <w:t xml:space="preserve"> Vasilenko had several patents that he had registered in </w:t>
      </w:r>
      <w:r w:rsidR="00DB4215">
        <w:t xml:space="preserve">the US </w:t>
      </w:r>
      <w:r w:rsidR="002068F7">
        <w:t xml:space="preserve">in respect of his own inventions.  He instructs me that he transferred his </w:t>
      </w:r>
      <w:r w:rsidR="002C06B1">
        <w:t xml:space="preserve">rights </w:t>
      </w:r>
      <w:r w:rsidR="003525D6">
        <w:t>in</w:t>
      </w:r>
      <w:r w:rsidR="002068F7">
        <w:t xml:space="preserve"> those patents to </w:t>
      </w:r>
      <w:r w:rsidR="001F6145">
        <w:t xml:space="preserve">PI </w:t>
      </w:r>
      <w:r w:rsidR="00DB4215">
        <w:t>which became the registered hold</w:t>
      </w:r>
      <w:r w:rsidR="00702BD5">
        <w:t>er</w:t>
      </w:r>
      <w:r w:rsidR="00DB4215">
        <w:t xml:space="preserve"> of the IP rights of </w:t>
      </w:r>
      <w:r w:rsidR="003525D6">
        <w:t xml:space="preserve">what became </w:t>
      </w:r>
      <w:r w:rsidR="00DB4215">
        <w:t>the Vitabeam product.</w:t>
      </w:r>
    </w:p>
    <w:p w14:paraId="6C0E6248" w14:textId="124397F4" w:rsidR="00D90DAB" w:rsidRPr="002068F7" w:rsidRDefault="00197358" w:rsidP="0089351F">
      <w:pPr>
        <w:pStyle w:val="1Adviceparalargegap"/>
      </w:pPr>
      <w:r w:rsidRPr="002068F7">
        <w:t xml:space="preserve">According to Companies House documentation, </w:t>
      </w:r>
      <w:r w:rsidR="00D90DAB" w:rsidRPr="002068F7">
        <w:t xml:space="preserve">Vitabeam was incorporated in the UK on 31 January 2014 under the name Hinthunt Franchises Limited (company number: 8871663) with one share allotted to Woodberry Secretarial Limited and with </w:t>
      </w:r>
      <w:r w:rsidR="003525D6">
        <w:t xml:space="preserve">one </w:t>
      </w:r>
      <w:r w:rsidR="00D90DAB" w:rsidRPr="002068F7">
        <w:t>Barbara Kahan as sole director.  The Articles of Association (‘the Articles’) included provision that the Model Articles applie</w:t>
      </w:r>
      <w:r w:rsidR="00702BD5">
        <w:t xml:space="preserve">d </w:t>
      </w:r>
      <w:r w:rsidR="00D90DAB" w:rsidRPr="002068F7">
        <w:t>save where modified and excluded by the Articles.</w:t>
      </w:r>
    </w:p>
    <w:p w14:paraId="7EDD4C61" w14:textId="77777777" w:rsidR="00D90DAB" w:rsidRPr="002068F7" w:rsidRDefault="00D90DAB" w:rsidP="005907FF">
      <w:pPr>
        <w:pStyle w:val="1Adviceparasmallgap"/>
      </w:pPr>
      <w:r w:rsidRPr="002068F7">
        <w:t>The Articles contained the following relevant provisions:</w:t>
      </w:r>
    </w:p>
    <w:p w14:paraId="0D420990" w14:textId="77777777" w:rsidR="00A85F58" w:rsidRPr="00117C36" w:rsidRDefault="00D90DAB" w:rsidP="002C5BF0">
      <w:pPr>
        <w:spacing w:after="120" w:line="480" w:lineRule="auto"/>
        <w:ind w:left="1566" w:hanging="1134"/>
        <w:rPr>
          <w:sz w:val="20"/>
        </w:rPr>
      </w:pPr>
      <w:r w:rsidRPr="00117C36">
        <w:rPr>
          <w:sz w:val="20"/>
        </w:rPr>
        <w:t>‘21.3</w:t>
      </w:r>
      <w:r w:rsidRPr="00117C36">
        <w:rPr>
          <w:sz w:val="20"/>
        </w:rPr>
        <w:tab/>
        <w:t>Subject to the remaining provisions of this Article 21 and to Article 22 (Further issues of shares: pre-emption rights) and to any directions which may be given by the company in general meeting, the directors are generally and unconditionally authorised, for the purpose of section 551 of the Companies Act 2006 to exercise any power of the company to:</w:t>
      </w:r>
    </w:p>
    <w:p w14:paraId="3962C80B" w14:textId="681669E4" w:rsidR="00D90DAB" w:rsidRPr="00117C36" w:rsidRDefault="00D90DAB" w:rsidP="002C5BF0">
      <w:pPr>
        <w:spacing w:after="120" w:line="480" w:lineRule="auto"/>
        <w:ind w:left="2360" w:hanging="794"/>
        <w:rPr>
          <w:sz w:val="20"/>
        </w:rPr>
      </w:pPr>
      <w:r w:rsidRPr="00117C36">
        <w:rPr>
          <w:sz w:val="20"/>
        </w:rPr>
        <w:t>21.3.</w:t>
      </w:r>
      <w:r w:rsidR="00197358" w:rsidRPr="00117C36">
        <w:rPr>
          <w:sz w:val="20"/>
        </w:rPr>
        <w:t>1</w:t>
      </w:r>
      <w:r w:rsidR="00197358" w:rsidRPr="00117C36">
        <w:rPr>
          <w:sz w:val="20"/>
        </w:rPr>
        <w:tab/>
      </w:r>
      <w:r w:rsidRPr="00117C36">
        <w:rPr>
          <w:sz w:val="20"/>
        </w:rPr>
        <w:t>offer or allot;</w:t>
      </w:r>
    </w:p>
    <w:p w14:paraId="0F18FF17" w14:textId="77777777" w:rsidR="00197358" w:rsidRPr="00117C36" w:rsidRDefault="00D90DAB" w:rsidP="002C5BF0">
      <w:pPr>
        <w:pStyle w:val="iAdvicesmallgap"/>
        <w:ind w:left="2360"/>
        <w:rPr>
          <w:sz w:val="20"/>
        </w:rPr>
      </w:pPr>
      <w:r w:rsidRPr="00117C36">
        <w:rPr>
          <w:sz w:val="20"/>
        </w:rPr>
        <w:t>21.3.2</w:t>
      </w:r>
      <w:r w:rsidRPr="00117C36">
        <w:rPr>
          <w:sz w:val="20"/>
        </w:rPr>
        <w:tab/>
        <w:t>grant rights to subscribe for or to convert any security into;</w:t>
      </w:r>
    </w:p>
    <w:p w14:paraId="4879C5D2" w14:textId="31258362" w:rsidR="00D90DAB" w:rsidRPr="00117C36" w:rsidRDefault="00D90DAB" w:rsidP="002C5BF0">
      <w:pPr>
        <w:pStyle w:val="iAdvicesmallgap"/>
        <w:ind w:left="2360"/>
        <w:rPr>
          <w:sz w:val="20"/>
        </w:rPr>
      </w:pPr>
      <w:r w:rsidRPr="00117C36">
        <w:rPr>
          <w:sz w:val="20"/>
        </w:rPr>
        <w:t>2l.3.3</w:t>
      </w:r>
      <w:r w:rsidRPr="00117C36">
        <w:rPr>
          <w:sz w:val="20"/>
        </w:rPr>
        <w:tab/>
        <w:t>otherwise create, deal in or dispose of</w:t>
      </w:r>
    </w:p>
    <w:p w14:paraId="02A6F3B1" w14:textId="1AE53634" w:rsidR="00D90DAB" w:rsidRPr="00117C36" w:rsidRDefault="00D90DAB" w:rsidP="002C5BF0">
      <w:pPr>
        <w:pStyle w:val="iAdvicesmallgap"/>
        <w:ind w:left="2360" w:firstLine="0"/>
        <w:rPr>
          <w:sz w:val="20"/>
        </w:rPr>
      </w:pPr>
      <w:r w:rsidRPr="00117C36">
        <w:rPr>
          <w:sz w:val="20"/>
        </w:rPr>
        <w:t>any shares in the company to any person, at any time and subject to any terms and</w:t>
      </w:r>
      <w:r w:rsidR="00197358" w:rsidRPr="00117C36">
        <w:rPr>
          <w:sz w:val="20"/>
        </w:rPr>
        <w:t xml:space="preserve"> </w:t>
      </w:r>
      <w:r w:rsidRPr="00117C36">
        <w:rPr>
          <w:sz w:val="20"/>
        </w:rPr>
        <w:t>conditions as the directors think proper.’</w:t>
      </w:r>
    </w:p>
    <w:p w14:paraId="59DF7E14" w14:textId="707370FE" w:rsidR="00D90DAB" w:rsidRPr="00117C36" w:rsidRDefault="00D90DAB" w:rsidP="002C5BF0">
      <w:pPr>
        <w:spacing w:after="120" w:line="480" w:lineRule="auto"/>
        <w:ind w:left="1566" w:hanging="1134"/>
        <w:rPr>
          <w:sz w:val="20"/>
        </w:rPr>
      </w:pPr>
      <w:r w:rsidRPr="00117C36">
        <w:rPr>
          <w:sz w:val="20"/>
        </w:rPr>
        <w:t>21.4</w:t>
      </w:r>
      <w:r w:rsidRPr="00117C36">
        <w:rPr>
          <w:sz w:val="20"/>
        </w:rPr>
        <w:tab/>
        <w:t>‘The authority referred to in Article 23:</w:t>
      </w:r>
    </w:p>
    <w:p w14:paraId="6DF4A89F" w14:textId="77777777" w:rsidR="00D90DAB" w:rsidRPr="00117C36" w:rsidRDefault="00D90DAB" w:rsidP="002C5BF0">
      <w:pPr>
        <w:spacing w:line="480" w:lineRule="auto"/>
        <w:ind w:left="2360" w:hanging="794"/>
        <w:rPr>
          <w:sz w:val="20"/>
        </w:rPr>
      </w:pPr>
      <w:r w:rsidRPr="00117C36">
        <w:rPr>
          <w:sz w:val="20"/>
        </w:rPr>
        <w:t>…</w:t>
      </w:r>
    </w:p>
    <w:p w14:paraId="5DF5C70F" w14:textId="77777777" w:rsidR="00D90DAB" w:rsidRPr="00117C36" w:rsidRDefault="00D90DAB" w:rsidP="002C5BF0">
      <w:pPr>
        <w:spacing w:after="120" w:line="480" w:lineRule="auto"/>
        <w:ind w:left="2360" w:hanging="794"/>
        <w:rPr>
          <w:sz w:val="20"/>
        </w:rPr>
      </w:pPr>
      <w:r w:rsidRPr="00117C36">
        <w:rPr>
          <w:sz w:val="20"/>
        </w:rPr>
        <w:t>21.4.3</w:t>
      </w:r>
      <w:r w:rsidRPr="00117C36">
        <w:rPr>
          <w:sz w:val="20"/>
        </w:rPr>
        <w:tab/>
        <w:t>may only be exercised for a period of five years commencing on the date on which the company is incorporated or these articles are adopted whichever is the later’</w:t>
      </w:r>
    </w:p>
    <w:p w14:paraId="38E2687C" w14:textId="77777777" w:rsidR="00D90DAB" w:rsidRPr="00117C36" w:rsidRDefault="00D90DAB" w:rsidP="002C5BF0">
      <w:pPr>
        <w:spacing w:after="360" w:line="480" w:lineRule="auto"/>
        <w:ind w:left="1566" w:hanging="1134"/>
        <w:rPr>
          <w:sz w:val="20"/>
        </w:rPr>
      </w:pPr>
      <w:r w:rsidRPr="00117C36">
        <w:rPr>
          <w:sz w:val="20"/>
        </w:rPr>
        <w:lastRenderedPageBreak/>
        <w:t>22.2</w:t>
      </w:r>
      <w:r w:rsidRPr="00117C36">
        <w:rPr>
          <w:sz w:val="20"/>
        </w:rPr>
        <w:tab/>
        <w:t>‘Unless otherwise agreed by special resolution, if the company proposes to allot any equity securities, those equity securities shall not be allotted to any person unless the company has first offered them to all shareholders on the date of the offer on the same terms, and at the same price, as those equity securities are being offered to such other person on a pari passu basis and pro rata to the nominal value of shares held by those shareholders (as nearly as possible without involving fractions).’</w:t>
      </w:r>
    </w:p>
    <w:p w14:paraId="6BB45072" w14:textId="78350EA6" w:rsidR="007B5703" w:rsidRDefault="00D90DAB" w:rsidP="0089351F">
      <w:pPr>
        <w:pStyle w:val="1Adviceparalargegap"/>
      </w:pPr>
      <w:r w:rsidRPr="002C06B1">
        <w:t>On 30 May 2014, the company changed its name to Vitabeam Limited</w:t>
      </w:r>
      <w:r w:rsidR="00702BD5">
        <w:t xml:space="preserve"> (‘Vitabeam’)</w:t>
      </w:r>
      <w:r w:rsidRPr="002C06B1">
        <w:t xml:space="preserve">.  According to the annual return dated 1 August 2014, at that time the one issued share was held by one Gemma Milne.  On 11 August 2014, Gemma Milne and </w:t>
      </w:r>
      <w:r w:rsidR="001F6145">
        <w:t>JMM</w:t>
      </w:r>
      <w:r w:rsidRPr="002C06B1">
        <w:t xml:space="preserve"> were appointed as director</w:t>
      </w:r>
      <w:r w:rsidR="00702BD5">
        <w:t>s</w:t>
      </w:r>
      <w:r w:rsidRPr="002C06B1">
        <w:t>.</w:t>
      </w:r>
    </w:p>
    <w:p w14:paraId="36547D5C" w14:textId="6E2F5092" w:rsidR="00DB4215" w:rsidRDefault="00DB4215" w:rsidP="0089351F">
      <w:pPr>
        <w:pStyle w:val="1Adviceparalargegap"/>
      </w:pPr>
      <w:r>
        <w:t xml:space="preserve">In the meantime, on 3 July 2014 a licence agreement was entered into between </w:t>
      </w:r>
      <w:r w:rsidR="00702BD5">
        <w:t>PI,</w:t>
      </w:r>
      <w:r>
        <w:t xml:space="preserve"> Vitabeam and </w:t>
      </w:r>
      <w:r w:rsidR="007B2B3F">
        <w:t>Dr</w:t>
      </w:r>
      <w:r>
        <w:t xml:space="preserve"> Vasilenko by which, in consideration for the issue of 51% of the share capital of Vitabeam to </w:t>
      </w:r>
      <w:r w:rsidR="001F6145">
        <w:t>PI</w:t>
      </w:r>
      <w:r>
        <w:t xml:space="preserve"> or its nominee, </w:t>
      </w:r>
      <w:r w:rsidR="001F6145">
        <w:t xml:space="preserve">PI </w:t>
      </w:r>
      <w:r>
        <w:t>gra</w:t>
      </w:r>
      <w:r w:rsidR="001F6145">
        <w:t>n</w:t>
      </w:r>
      <w:r>
        <w:t xml:space="preserve">ted a perpetual worldwide </w:t>
      </w:r>
      <w:r w:rsidR="00BC4A8A">
        <w:t xml:space="preserve">licence over </w:t>
      </w:r>
      <w:r w:rsidR="001F6145">
        <w:t>its</w:t>
      </w:r>
      <w:r w:rsidR="00BC4A8A">
        <w:t xml:space="preserve"> IP rights.</w:t>
      </w:r>
    </w:p>
    <w:p w14:paraId="083D16DB" w14:textId="00E5CBDC" w:rsidR="00D90DAB" w:rsidRDefault="00D90DAB" w:rsidP="00A2410E">
      <w:pPr>
        <w:pStyle w:val="1Adviceparasmallgap"/>
        <w:spacing w:after="360"/>
      </w:pPr>
      <w:r>
        <w:t xml:space="preserve">Between about July and September 2014, </w:t>
      </w:r>
      <w:r w:rsidR="001F6145">
        <w:t>JMM</w:t>
      </w:r>
      <w:r w:rsidR="00BC4A8A">
        <w:t xml:space="preserve">, </w:t>
      </w:r>
      <w:r w:rsidR="007B2B3F">
        <w:t>Dr</w:t>
      </w:r>
      <w:r w:rsidR="00BC4A8A">
        <w:t xml:space="preserve"> Vasilenko</w:t>
      </w:r>
      <w:r>
        <w:t xml:space="preserve">, along with others negotiated the terms of a shareholders’ agreement (‘the Shareholders Agreement’). This was finally executed on 4 September 2014.  The parties to it were, </w:t>
      </w:r>
      <w:r w:rsidR="001F6145">
        <w:t>PI</w:t>
      </w:r>
      <w:r w:rsidR="00BC4A8A">
        <w:t xml:space="preserve">, </w:t>
      </w:r>
      <w:r>
        <w:t>Allied Standard Limited</w:t>
      </w:r>
      <w:r w:rsidR="00DF2951">
        <w:t xml:space="preserve"> (‘Allied’)</w:t>
      </w:r>
      <w:r w:rsidR="00A2410E">
        <w:t>,</w:t>
      </w:r>
      <w:r w:rsidR="00DF2951">
        <w:t xml:space="preserve"> </w:t>
      </w:r>
      <w:r w:rsidR="00BC4A8A">
        <w:t xml:space="preserve"> J Capital Limited (each as shareholders) and </w:t>
      </w:r>
      <w:r w:rsidR="007B2B3F">
        <w:t>Dr</w:t>
      </w:r>
      <w:r w:rsidR="00BC4A8A">
        <w:t xml:space="preserve"> Vasilenko and </w:t>
      </w:r>
      <w:r w:rsidR="001F6145">
        <w:t>JMM</w:t>
      </w:r>
      <w:r>
        <w:t xml:space="preserve">.  </w:t>
      </w:r>
    </w:p>
    <w:p w14:paraId="2AA28C67" w14:textId="1DF7D76F" w:rsidR="00D90DAB" w:rsidRDefault="00D90DAB" w:rsidP="00A2410E">
      <w:pPr>
        <w:pStyle w:val="1Adviceparasmallgap"/>
        <w:spacing w:after="360"/>
      </w:pPr>
      <w:r>
        <w:t xml:space="preserve">It was an express term of the Shareholders Agreement that Vitabeam’s share capital was to be divided into 100 ordinary shares valued at £1 each and that </w:t>
      </w:r>
      <w:r w:rsidR="001F6145">
        <w:t>PI</w:t>
      </w:r>
      <w:r>
        <w:t xml:space="preserve"> Inc would hold 51 shares</w:t>
      </w:r>
      <w:r w:rsidR="00BC4A8A">
        <w:t xml:space="preserve"> (as provided for in the Licence Agreement</w:t>
      </w:r>
      <w:r>
        <w:t>, Allied Standard Limited would hold 24 shares and J Capital would hold 25 shares.</w:t>
      </w:r>
    </w:p>
    <w:p w14:paraId="38F111C7" w14:textId="77777777" w:rsidR="00D90DAB" w:rsidRDefault="00D90DAB" w:rsidP="005907FF">
      <w:pPr>
        <w:pStyle w:val="1Adviceparasmallgap"/>
      </w:pPr>
      <w:r>
        <w:t>The Shareholders Agreement also contained the following relevant terms:</w:t>
      </w:r>
    </w:p>
    <w:p w14:paraId="1343C847" w14:textId="50E1C4B7" w:rsidR="00D90DAB" w:rsidRPr="002C5BF0" w:rsidRDefault="00D90DAB" w:rsidP="00213215">
      <w:pPr>
        <w:spacing w:after="120" w:line="480" w:lineRule="auto"/>
        <w:ind w:left="1565" w:hanging="1134"/>
        <w:rPr>
          <w:sz w:val="20"/>
        </w:rPr>
      </w:pPr>
      <w:r w:rsidRPr="002C5BF0">
        <w:rPr>
          <w:sz w:val="20"/>
        </w:rPr>
        <w:lastRenderedPageBreak/>
        <w:t>3.1</w:t>
      </w:r>
      <w:r w:rsidR="00BC4A8A" w:rsidRPr="002C5BF0">
        <w:rPr>
          <w:sz w:val="20"/>
        </w:rPr>
        <w:tab/>
      </w:r>
      <w:r w:rsidRPr="002C5BF0">
        <w:rPr>
          <w:sz w:val="20"/>
        </w:rPr>
        <w:t xml:space="preserve">each shareholder shall, for as long as he holds any shares in the capital of the company, use his reasonable endeavors (sic.) to procure (so far as is lawfully possible in the exercise of his rights and powers as a shareholder of the company) but the company shall not, without the prior written consent of all shareholders: </w:t>
      </w:r>
    </w:p>
    <w:p w14:paraId="2A66FC20" w14:textId="77777777" w:rsidR="00D90DAB" w:rsidRPr="002C5BF0" w:rsidRDefault="00D90DAB" w:rsidP="00213215">
      <w:pPr>
        <w:spacing w:after="120" w:line="480" w:lineRule="auto"/>
        <w:ind w:left="2360" w:hanging="794"/>
        <w:rPr>
          <w:sz w:val="20"/>
        </w:rPr>
      </w:pPr>
      <w:r w:rsidRPr="002C5BF0">
        <w:rPr>
          <w:sz w:val="20"/>
        </w:rPr>
        <w:t>…</w:t>
      </w:r>
    </w:p>
    <w:p w14:paraId="4BE3112B" w14:textId="77777777" w:rsidR="00D90DAB" w:rsidRPr="002C5BF0" w:rsidRDefault="00D90DAB" w:rsidP="002C5BF0">
      <w:pPr>
        <w:spacing w:after="120" w:line="480" w:lineRule="auto"/>
        <w:ind w:left="2360" w:hanging="794"/>
        <w:rPr>
          <w:sz w:val="20"/>
        </w:rPr>
      </w:pPr>
      <w:r w:rsidRPr="002C5BF0">
        <w:rPr>
          <w:sz w:val="20"/>
        </w:rPr>
        <w:t>(g)</w:t>
      </w:r>
      <w:r w:rsidRPr="002C5BF0">
        <w:rPr>
          <w:sz w:val="20"/>
        </w:rPr>
        <w:tab/>
        <w:t>purchase, lease or otherwise acquire assets, or any interest in assets, which in aggregate exceed the value of $50,000; or</w:t>
      </w:r>
    </w:p>
    <w:p w14:paraId="61168BA4" w14:textId="77777777" w:rsidR="00D90DAB" w:rsidRPr="002C5BF0" w:rsidRDefault="00D90DAB" w:rsidP="002C5BF0">
      <w:pPr>
        <w:spacing w:after="120" w:line="480" w:lineRule="auto"/>
        <w:ind w:left="2360" w:hanging="794"/>
        <w:rPr>
          <w:sz w:val="20"/>
        </w:rPr>
      </w:pPr>
      <w:r w:rsidRPr="002C5BF0">
        <w:rPr>
          <w:sz w:val="20"/>
        </w:rPr>
        <w:t>(h)</w:t>
      </w:r>
      <w:r w:rsidRPr="002C5BF0">
        <w:rPr>
          <w:sz w:val="20"/>
        </w:rPr>
        <w:tab/>
        <w:t>enter into any other contract, transaction or arrangement of a value exceeding $50,000’</w:t>
      </w:r>
    </w:p>
    <w:p w14:paraId="38F7F76F" w14:textId="77777777" w:rsidR="00D90DAB" w:rsidRPr="002C5BF0" w:rsidRDefault="00D90DAB" w:rsidP="002C5BF0">
      <w:pPr>
        <w:spacing w:after="120" w:line="480" w:lineRule="auto"/>
        <w:ind w:left="1565" w:hanging="1134"/>
        <w:rPr>
          <w:sz w:val="20"/>
        </w:rPr>
      </w:pPr>
      <w:r w:rsidRPr="002C5BF0">
        <w:rPr>
          <w:sz w:val="20"/>
        </w:rPr>
        <w:t>‘4.1</w:t>
      </w:r>
      <w:r w:rsidRPr="002C5BF0">
        <w:rPr>
          <w:sz w:val="20"/>
        </w:rPr>
        <w:tab/>
        <w:t>No Shareholder shall sell, transfer, assign, pledge, charge or otherwise dispose of any share or any interest in any share in the capital of the Company, except as permitted by this agreement or with the prior written consent of all other Shareholders such consent not to be unreasonably withheld or delayed and to the extent that a transferee is a part of a group with the transferring Shareholder or otherwise related to or controlled by no such consent shall be required.’</w:t>
      </w:r>
    </w:p>
    <w:p w14:paraId="1BDC2389" w14:textId="77777777" w:rsidR="00D90DAB" w:rsidRPr="002C5BF0" w:rsidRDefault="00D90DAB" w:rsidP="002C5BF0">
      <w:pPr>
        <w:spacing w:after="120" w:line="480" w:lineRule="auto"/>
        <w:ind w:left="1565" w:hanging="1134"/>
        <w:rPr>
          <w:sz w:val="20"/>
        </w:rPr>
      </w:pPr>
      <w:r w:rsidRPr="002C5BF0">
        <w:rPr>
          <w:sz w:val="20"/>
        </w:rPr>
        <w:t>‘8.</w:t>
      </w:r>
      <w:r w:rsidRPr="002C5BF0">
        <w:rPr>
          <w:sz w:val="20"/>
        </w:rPr>
        <w:tab/>
        <w:t>…If the Company determines to issue further shares, each of the Shareholders shall use its reasonable endeavors (sic.) to procure (so far as is lawfully possible in the exercise of his rights and powers as a shareholder of the Company) that the Company offers, by giving written notice to each respective Shareholder, that proportion of the shares proposed to be issued which the number of ordinary shares held by that Shareholder bears to the total number of ordinary shares in issue at the time the Company gives its notice. Such offer shall state the number of shares to be issued and the price of the shares.’</w:t>
      </w:r>
    </w:p>
    <w:p w14:paraId="674BF9D0" w14:textId="77777777" w:rsidR="00D90DAB" w:rsidRPr="002C5BF0" w:rsidRDefault="00D90DAB" w:rsidP="002C5BF0">
      <w:pPr>
        <w:spacing w:after="120" w:line="480" w:lineRule="auto"/>
        <w:ind w:left="1565" w:hanging="1134"/>
        <w:rPr>
          <w:sz w:val="20"/>
        </w:rPr>
      </w:pPr>
      <w:r w:rsidRPr="002C5BF0">
        <w:rPr>
          <w:sz w:val="20"/>
        </w:rPr>
        <w:t>‘11.3</w:t>
      </w:r>
      <w:r w:rsidRPr="002C5BF0">
        <w:rPr>
          <w:sz w:val="20"/>
        </w:rPr>
        <w:tab/>
        <w:t>On the occurrence of either a Commercial Event or the Main Funding service contracts with the following will be entered into:</w:t>
      </w:r>
    </w:p>
    <w:p w14:paraId="68BB7F7F" w14:textId="499F9299" w:rsidR="00D90DAB" w:rsidRPr="002C5BF0" w:rsidRDefault="00D90DAB" w:rsidP="002C5BF0">
      <w:pPr>
        <w:spacing w:after="120" w:line="480" w:lineRule="auto"/>
        <w:ind w:left="2360" w:hanging="794"/>
        <w:rPr>
          <w:sz w:val="20"/>
        </w:rPr>
      </w:pPr>
      <w:r w:rsidRPr="002C5BF0">
        <w:rPr>
          <w:sz w:val="20"/>
        </w:rPr>
        <w:t>(a)</w:t>
      </w:r>
      <w:r w:rsidR="009A17EF" w:rsidRPr="002C5BF0">
        <w:rPr>
          <w:sz w:val="20"/>
        </w:rPr>
        <w:tab/>
      </w:r>
      <w:r w:rsidRPr="002C5BF0">
        <w:rPr>
          <w:sz w:val="20"/>
        </w:rPr>
        <w:t>Dr Vladimir Vasilenko at a salary of $105,000 per year for a term of three years</w:t>
      </w:r>
    </w:p>
    <w:p w14:paraId="7C170A4B" w14:textId="77777777" w:rsidR="00D90DAB" w:rsidRPr="002C5BF0" w:rsidRDefault="00D90DAB" w:rsidP="002C5BF0">
      <w:pPr>
        <w:spacing w:after="120" w:line="480" w:lineRule="auto"/>
        <w:ind w:left="2360" w:hanging="794"/>
        <w:rPr>
          <w:sz w:val="20"/>
        </w:rPr>
      </w:pPr>
      <w:r w:rsidRPr="002C5BF0">
        <w:rPr>
          <w:sz w:val="20"/>
        </w:rPr>
        <w:t>(b)</w:t>
      </w:r>
      <w:r w:rsidRPr="002C5BF0">
        <w:rPr>
          <w:sz w:val="20"/>
        </w:rPr>
        <w:tab/>
        <w:t>James Millichap-Merrick at a salary of $105,000 per year for a term of three years</w:t>
      </w:r>
    </w:p>
    <w:p w14:paraId="1AF2D350" w14:textId="77777777" w:rsidR="00D90DAB" w:rsidRPr="002C5BF0" w:rsidRDefault="00D90DAB" w:rsidP="002C5BF0">
      <w:pPr>
        <w:spacing w:after="120" w:line="480" w:lineRule="auto"/>
        <w:ind w:left="2360" w:hanging="794"/>
        <w:rPr>
          <w:sz w:val="20"/>
        </w:rPr>
      </w:pPr>
      <w:r w:rsidRPr="002C5BF0">
        <w:rPr>
          <w:sz w:val="20"/>
        </w:rPr>
        <w:t>(c)</w:t>
      </w:r>
      <w:r w:rsidRPr="002C5BF0">
        <w:rPr>
          <w:sz w:val="20"/>
        </w:rPr>
        <w:tab/>
        <w:t>A nominee of Shareholder B at a salary of $48,000 per year for a term of three years’</w:t>
      </w:r>
    </w:p>
    <w:p w14:paraId="70A16579" w14:textId="77777777" w:rsidR="00D90DAB" w:rsidRPr="00213215" w:rsidRDefault="00D90DAB" w:rsidP="005907FF">
      <w:pPr>
        <w:pStyle w:val="1Adviceparasmallgap"/>
        <w:numPr>
          <w:ilvl w:val="0"/>
          <w:numId w:val="0"/>
        </w:numPr>
        <w:ind w:left="1566"/>
      </w:pPr>
      <w:r w:rsidRPr="00DF2951">
        <w:t>‘Commercial Event’ was defined in the Shareholders agreement as ‘the</w:t>
      </w:r>
      <w:r w:rsidRPr="00213215">
        <w:t xml:space="preserve"> </w:t>
      </w:r>
      <w:r w:rsidRPr="00213215">
        <w:lastRenderedPageBreak/>
        <w:t>occurrence of either:</w:t>
      </w:r>
    </w:p>
    <w:p w14:paraId="7ABEC2BF" w14:textId="77777777" w:rsidR="00D90DAB" w:rsidRPr="002C5BF0" w:rsidRDefault="00D90DAB" w:rsidP="002C5BF0">
      <w:pPr>
        <w:spacing w:after="120" w:line="480" w:lineRule="auto"/>
        <w:ind w:left="2360" w:hanging="794"/>
        <w:rPr>
          <w:sz w:val="20"/>
        </w:rPr>
      </w:pPr>
      <w:r w:rsidRPr="002C5BF0">
        <w:rPr>
          <w:sz w:val="20"/>
        </w:rPr>
        <w:t>‘(a)</w:t>
      </w:r>
      <w:r w:rsidRPr="002C5BF0">
        <w:rPr>
          <w:sz w:val="20"/>
        </w:rPr>
        <w:tab/>
        <w:t>the sale of the Company’s product for an amount not less than $250,000;</w:t>
      </w:r>
    </w:p>
    <w:p w14:paraId="034219E5" w14:textId="77777777" w:rsidR="00D90DAB" w:rsidRPr="002C5BF0" w:rsidRDefault="00D90DAB" w:rsidP="00213215">
      <w:pPr>
        <w:spacing w:after="360" w:line="480" w:lineRule="auto"/>
        <w:ind w:left="2359" w:hanging="794"/>
        <w:rPr>
          <w:sz w:val="20"/>
        </w:rPr>
      </w:pPr>
      <w:r w:rsidRPr="002C5BF0">
        <w:rPr>
          <w:sz w:val="20"/>
        </w:rPr>
        <w:t>(b)</w:t>
      </w:r>
      <w:r w:rsidRPr="002C5BF0">
        <w:rPr>
          <w:sz w:val="20"/>
        </w:rPr>
        <w:tab/>
        <w:t>the execution of a contract with a third-party to exploit one or more sublicenses granted by the company providing for payments to the company within one year and not less than $250,000.’</w:t>
      </w:r>
    </w:p>
    <w:p w14:paraId="58B9E8B8" w14:textId="5FDE8B1F" w:rsidR="007B5703" w:rsidRDefault="007B5703" w:rsidP="00A2410E">
      <w:pPr>
        <w:pStyle w:val="1Adviceparalargegap"/>
        <w:spacing w:after="120"/>
      </w:pPr>
      <w:r>
        <w:t xml:space="preserve">Notwithstanding the terms of the Licence Agreement and the Shareholders Agreement, according to Companies House documentation no shares in Vitabeam </w:t>
      </w:r>
      <w:r w:rsidR="00A2410E">
        <w:t>were</w:t>
      </w:r>
      <w:r>
        <w:t xml:space="preserve"> allotted to </w:t>
      </w:r>
      <w:r w:rsidR="00A2410E">
        <w:t>PI</w:t>
      </w:r>
      <w:r>
        <w:t xml:space="preserve">.  What Companies House </w:t>
      </w:r>
      <w:r w:rsidR="00213215">
        <w:t xml:space="preserve">records </w:t>
      </w:r>
      <w:r>
        <w:t>show is:</w:t>
      </w:r>
    </w:p>
    <w:p w14:paraId="7AC2A9C3" w14:textId="1352ADA2" w:rsidR="00D90DAB" w:rsidRDefault="00B6765A" w:rsidP="00A2410E">
      <w:pPr>
        <w:pStyle w:val="1Adviceparalargegap"/>
        <w:numPr>
          <w:ilvl w:val="1"/>
          <w:numId w:val="1"/>
        </w:numPr>
        <w:spacing w:after="120"/>
        <w:ind w:left="908" w:hanging="454"/>
      </w:pPr>
      <w:r>
        <w:t>O</w:t>
      </w:r>
      <w:r w:rsidR="00D90DAB">
        <w:t>n 6 October 2014 the share capital in Vitabeam was increased to 1,000,000 shares and the shares were subdivided into three different types of share.</w:t>
      </w:r>
    </w:p>
    <w:p w14:paraId="18F799EC" w14:textId="3C3BBB37" w:rsidR="00D90DAB" w:rsidRDefault="00B6765A" w:rsidP="00A2410E">
      <w:pPr>
        <w:pStyle w:val="1Adviceparalargegap"/>
        <w:numPr>
          <w:ilvl w:val="1"/>
          <w:numId w:val="1"/>
        </w:numPr>
        <w:spacing w:after="120"/>
        <w:ind w:left="908" w:hanging="454"/>
      </w:pPr>
      <w:r>
        <w:t>T</w:t>
      </w:r>
      <w:r w:rsidR="00217B27">
        <w:t xml:space="preserve">he next annual return, </w:t>
      </w:r>
      <w:r w:rsidR="00D90DAB">
        <w:t>dated 1 August 2015</w:t>
      </w:r>
      <w:r w:rsidR="00217B27">
        <w:t>,</w:t>
      </w:r>
      <w:r w:rsidR="00D90DAB">
        <w:t xml:space="preserve"> shows a further increase in the share capital to  1,225,800 ordinary shares.  It is not clear how that further increase took place.  Of those 1,225,800, 5,000 shares were held by Gemma Milne, 405,000  by </w:t>
      </w:r>
      <w:r w:rsidR="007B2B3F">
        <w:t>Dr</w:t>
      </w:r>
      <w:r w:rsidR="009A17EF">
        <w:t xml:space="preserve"> Vasilenko</w:t>
      </w:r>
      <w:r w:rsidR="00D90DAB">
        <w:t xml:space="preserve">, 350,000 by </w:t>
      </w:r>
      <w:r w:rsidR="00213215">
        <w:t>JMM</w:t>
      </w:r>
      <w:r w:rsidR="00D90DAB">
        <w:t xml:space="preserve"> and 180,000 by Allied Standard Limited.  The remainder were held by 10 other shareholders who were not parties to the Shareholders Agreement. This reflects a 33% interest held by </w:t>
      </w:r>
      <w:r w:rsidR="007B2B3F">
        <w:t>Dr</w:t>
      </w:r>
      <w:r w:rsidR="009A17EF">
        <w:t xml:space="preserve"> Vasilenko</w:t>
      </w:r>
      <w:r w:rsidR="00217B27">
        <w:t>, not the 51% that P</w:t>
      </w:r>
      <w:r w:rsidR="00213215">
        <w:t xml:space="preserve">I </w:t>
      </w:r>
      <w:r w:rsidR="00217B27">
        <w:t>w</w:t>
      </w:r>
      <w:r w:rsidR="00213215">
        <w:t>as</w:t>
      </w:r>
      <w:r w:rsidR="00217B27">
        <w:t xml:space="preserve"> entitled to under the Licence Agreement.</w:t>
      </w:r>
    </w:p>
    <w:p w14:paraId="68549164" w14:textId="458E6FCB" w:rsidR="00117C36" w:rsidRDefault="00217B27" w:rsidP="00A2410E">
      <w:pPr>
        <w:pStyle w:val="1Adviceparalargegap"/>
        <w:numPr>
          <w:ilvl w:val="1"/>
          <w:numId w:val="1"/>
        </w:numPr>
        <w:spacing w:after="120"/>
        <w:ind w:left="908" w:hanging="454"/>
      </w:pPr>
      <w:r>
        <w:t>O</w:t>
      </w:r>
      <w:r w:rsidR="00D90DAB">
        <w:t xml:space="preserve">ver the following years more shares </w:t>
      </w:r>
      <w:r w:rsidR="00213215">
        <w:t>were</w:t>
      </w:r>
      <w:r w:rsidR="00D90DAB">
        <w:t xml:space="preserve"> allotted each year and some shares appear to have been transferred as between shareholders.  </w:t>
      </w:r>
      <w:r>
        <w:t>The</w:t>
      </w:r>
      <w:r w:rsidR="00D90DAB">
        <w:t xml:space="preserve"> confirmation statement dated 1 August 2021 shows an issued share capital of 1,490,329 shares, of which </w:t>
      </w:r>
      <w:r w:rsidR="007B2B3F">
        <w:t>Dr</w:t>
      </w:r>
      <w:r w:rsidR="009A17EF">
        <w:t xml:space="preserve"> Vasilenko </w:t>
      </w:r>
      <w:r w:rsidR="00D90DAB">
        <w:t>continued to hold 405,000.  This reflects a reduc</w:t>
      </w:r>
      <w:r w:rsidR="009A17EF">
        <w:t xml:space="preserve">tion in his </w:t>
      </w:r>
      <w:r w:rsidR="00D90DAB">
        <w:t xml:space="preserve">proportionate shareholding </w:t>
      </w:r>
      <w:r w:rsidR="009A17EF">
        <w:t xml:space="preserve">to </w:t>
      </w:r>
      <w:r w:rsidR="00D90DAB">
        <w:t>27%.</w:t>
      </w:r>
    </w:p>
    <w:p w14:paraId="191A5700" w14:textId="2A0B3F54" w:rsidR="00DC5E83" w:rsidRDefault="00DC5E83" w:rsidP="00A2410E">
      <w:pPr>
        <w:pStyle w:val="1Adviceparalargegap"/>
        <w:numPr>
          <w:ilvl w:val="1"/>
          <w:numId w:val="1"/>
        </w:numPr>
        <w:ind w:left="908" w:hanging="454"/>
      </w:pPr>
      <w:r>
        <w:t>The most recent confirmation statement, dated 15 August 2022</w:t>
      </w:r>
      <w:r w:rsidR="00DF2951">
        <w:t>,</w:t>
      </w:r>
      <w:r>
        <w:t xml:space="preserve"> shows an issued share capital of 1,523,721, of which </w:t>
      </w:r>
      <w:r w:rsidR="007B2B3F">
        <w:t>Dr</w:t>
      </w:r>
      <w:r>
        <w:t xml:space="preserve"> Vasilenko continues to hold 405,000 shares, a </w:t>
      </w:r>
      <w:r>
        <w:lastRenderedPageBreak/>
        <w:t xml:space="preserve">shareholding </w:t>
      </w:r>
      <w:r w:rsidR="00DF2951">
        <w:t>now diluted to</w:t>
      </w:r>
      <w:r>
        <w:t xml:space="preserve"> 26.5%.</w:t>
      </w:r>
    </w:p>
    <w:p w14:paraId="14F5B3C0" w14:textId="6B2C9FD3" w:rsidR="00217B27" w:rsidRDefault="00DC5E83" w:rsidP="005907FF">
      <w:pPr>
        <w:pStyle w:val="1Adviceparasmallgap"/>
        <w:spacing w:after="360"/>
      </w:pPr>
      <w:r>
        <w:t>I also n</w:t>
      </w:r>
      <w:r w:rsidR="00217B27">
        <w:t xml:space="preserve">ote that </w:t>
      </w:r>
      <w:r w:rsidR="000C4395">
        <w:t>in the accounts dated year end September 2020</w:t>
      </w:r>
      <w:r>
        <w:t>, as lodged at Companies House</w:t>
      </w:r>
      <w:r w:rsidR="00DF2951">
        <w:t>,</w:t>
      </w:r>
      <w:r>
        <w:t xml:space="preserve"> state that</w:t>
      </w:r>
      <w:r w:rsidR="000C4395">
        <w:t xml:space="preserve"> Vitabeam</w:t>
      </w:r>
      <w:r>
        <w:t>’s</w:t>
      </w:r>
      <w:r w:rsidR="000C4395">
        <w:t xml:space="preserve"> trademarks and patents were valued at £127,248 and the net assets of the company were </w:t>
      </w:r>
      <w:r w:rsidR="00B6765A">
        <w:t>valued at</w:t>
      </w:r>
      <w:r w:rsidR="000C4395">
        <w:t xml:space="preserve"> £1,184,656.  The notes to the accounts also refer to </w:t>
      </w:r>
      <w:r w:rsidR="00B6765A">
        <w:t>PI</w:t>
      </w:r>
      <w:r w:rsidR="000C4395">
        <w:t xml:space="preserve"> and Purifying Inc providing research and development services to a value of £1,907.</w:t>
      </w:r>
      <w:r>
        <w:t xml:space="preserve">  This </w:t>
      </w:r>
      <w:r w:rsidR="00DF2951">
        <w:t>is rather</w:t>
      </w:r>
      <w:r>
        <w:t xml:space="preserve"> odd since, on searching </w:t>
      </w:r>
      <w:r w:rsidR="00B6765A">
        <w:t>PI</w:t>
      </w:r>
      <w:r>
        <w:t xml:space="preserve">, it is clear that it was dissolved </w:t>
      </w:r>
      <w:r w:rsidR="003B6B01">
        <w:t>on 20 January 20</w:t>
      </w:r>
      <w:r>
        <w:t>15.</w:t>
      </w:r>
    </w:p>
    <w:p w14:paraId="768FE778" w14:textId="353A5458" w:rsidR="005907FF" w:rsidRDefault="007B2B3F" w:rsidP="0089351F">
      <w:pPr>
        <w:pStyle w:val="1Adviceparalargegap"/>
      </w:pPr>
      <w:r>
        <w:t>Dr</w:t>
      </w:r>
      <w:r w:rsidR="003B6B01">
        <w:t xml:space="preserve"> Vasilenko instructs me</w:t>
      </w:r>
      <w:r w:rsidR="00117C36">
        <w:t xml:space="preserve"> that </w:t>
      </w:r>
      <w:r w:rsidR="003B6B01">
        <w:t>he</w:t>
      </w:r>
      <w:r w:rsidR="00117C36">
        <w:t xml:space="preserve"> was</w:t>
      </w:r>
      <w:r w:rsidR="00D90DAB">
        <w:t xml:space="preserve"> never notified by </w:t>
      </w:r>
      <w:r w:rsidR="00DF2951">
        <w:t xml:space="preserve">JMM or </w:t>
      </w:r>
      <w:r w:rsidR="00117C36">
        <w:t>any other person at</w:t>
      </w:r>
      <w:r w:rsidR="00D90DAB">
        <w:t xml:space="preserve"> Vitabeam of the allotment </w:t>
      </w:r>
      <w:r w:rsidR="00DF2951">
        <w:t xml:space="preserve">or proposed allotment </w:t>
      </w:r>
      <w:r w:rsidR="00D90DAB">
        <w:t>of shares</w:t>
      </w:r>
      <w:r w:rsidR="00DF2951">
        <w:t xml:space="preserve"> or offered a right of pre-emption over them</w:t>
      </w:r>
      <w:r w:rsidR="00D90DAB">
        <w:t>.</w:t>
      </w:r>
      <w:r w:rsidR="00117C36">
        <w:t xml:space="preserve">  </w:t>
      </w:r>
      <w:r w:rsidR="00012E24">
        <w:t>Indeed,</w:t>
      </w:r>
      <w:r w:rsidR="00117C36">
        <w:t xml:space="preserve"> </w:t>
      </w:r>
      <w:r>
        <w:t>Dr</w:t>
      </w:r>
      <w:r w:rsidR="00117C36">
        <w:t xml:space="preserve"> Vasilenko instructs that there were no general meetings </w:t>
      </w:r>
      <w:r w:rsidR="00B6765A">
        <w:t>called</w:t>
      </w:r>
      <w:r w:rsidR="00117C36">
        <w:t>, or at least he was not invited to any.</w:t>
      </w:r>
      <w:r w:rsidR="007B5703">
        <w:t xml:space="preserve">  </w:t>
      </w:r>
    </w:p>
    <w:p w14:paraId="30020286" w14:textId="6A962F02" w:rsidR="00D90DAB" w:rsidRDefault="00DF2951" w:rsidP="0089351F">
      <w:pPr>
        <w:pStyle w:val="1Adviceparalargegap"/>
      </w:pPr>
      <w:r>
        <w:t xml:space="preserve">It is clear that others were concerned about the management of Vitabeam.  </w:t>
      </w:r>
      <w:r w:rsidR="00FB623B">
        <w:t>In</w:t>
      </w:r>
      <w:r w:rsidR="007B5703">
        <w:t xml:space="preserve"> </w:t>
      </w:r>
      <w:r w:rsidR="00FB623B">
        <w:t>a</w:t>
      </w:r>
      <w:r w:rsidR="007B5703">
        <w:t xml:space="preserve"> letter</w:t>
      </w:r>
      <w:r w:rsidR="00E27B86">
        <w:t xml:space="preserve"> of claim </w:t>
      </w:r>
      <w:r w:rsidR="007B5703">
        <w:t xml:space="preserve">dated </w:t>
      </w:r>
      <w:r w:rsidR="003B6B01">
        <w:t xml:space="preserve">25 March 2021 </w:t>
      </w:r>
      <w:r>
        <w:t>to JMM from Ronald Fletcher Baker</w:t>
      </w:r>
      <w:r w:rsidR="003B6B01">
        <w:t>, solicitors for Pantheon International Advisors Limited</w:t>
      </w:r>
      <w:r w:rsidR="00E27B86">
        <w:t xml:space="preserve"> (‘Pantheon’)</w:t>
      </w:r>
      <w:r>
        <w:t>,</w:t>
      </w:r>
      <w:r w:rsidR="00E27B86">
        <w:t xml:space="preserve"> it </w:t>
      </w:r>
      <w:r>
        <w:t>is</w:t>
      </w:r>
      <w:r w:rsidR="00E27B86">
        <w:t xml:space="preserve"> </w:t>
      </w:r>
      <w:r>
        <w:t>asserted</w:t>
      </w:r>
      <w:r w:rsidR="00E27B86">
        <w:t xml:space="preserve"> that Allied </w:t>
      </w:r>
      <w:r w:rsidR="005907FF">
        <w:t>(</w:t>
      </w:r>
      <w:r w:rsidR="00E27B86">
        <w:t>which later transferred its shareholding to Pantheon) had not been notified of the additional allotment of shares and</w:t>
      </w:r>
      <w:r w:rsidR="00FB623B">
        <w:t>, in breach of clause 8 of the Shareholder</w:t>
      </w:r>
      <w:r w:rsidR="005907FF">
        <w:t>s</w:t>
      </w:r>
      <w:r w:rsidR="00FB623B">
        <w:t xml:space="preserve"> Agreement,</w:t>
      </w:r>
      <w:r w:rsidR="00E27B86">
        <w:t xml:space="preserve"> had not been </w:t>
      </w:r>
      <w:r w:rsidR="00FB623B">
        <w:t xml:space="preserve">offered a proportion of the newly allotted shares.  In my view the fact that Allied </w:t>
      </w:r>
      <w:r w:rsidR="005907FF">
        <w:t>was</w:t>
      </w:r>
      <w:r w:rsidR="00FB623B">
        <w:t xml:space="preserve"> apparently not consulted about the additional allotments of shares tends to give evidential support to </w:t>
      </w:r>
      <w:r w:rsidR="007B2B3F">
        <w:t>Dr</w:t>
      </w:r>
      <w:r w:rsidR="00FB623B">
        <w:t xml:space="preserve"> Vasilenko’s contention</w:t>
      </w:r>
      <w:r w:rsidR="005907FF">
        <w:t>s as to the failure</w:t>
      </w:r>
      <w:r w:rsidR="00B6765A">
        <w:t>s</w:t>
      </w:r>
      <w:r w:rsidR="005907FF">
        <w:t xml:space="preserve"> by the directors t</w:t>
      </w:r>
      <w:r w:rsidR="00B6765A">
        <w:t xml:space="preserve">o operate in accordance with </w:t>
      </w:r>
      <w:r w:rsidR="005907FF">
        <w:t>the Articles.</w:t>
      </w:r>
      <w:r w:rsidR="00FB623B">
        <w:t xml:space="preserve">   Pantheon’s solicitors threatened an unfair prejudice petition</w:t>
      </w:r>
      <w:r w:rsidR="009D44A9">
        <w:t xml:space="preserve"> on the basis of the watering down of Allied’s shareholding, now </w:t>
      </w:r>
      <w:r w:rsidR="005907FF">
        <w:t>held by</w:t>
      </w:r>
      <w:r w:rsidR="009D44A9">
        <w:t xml:space="preserve"> Pantheon</w:t>
      </w:r>
      <w:r w:rsidR="00FB623B">
        <w:t xml:space="preserve">. They also claimed that </w:t>
      </w:r>
      <w:r w:rsidR="009D44A9">
        <w:t xml:space="preserve">various </w:t>
      </w:r>
      <w:r w:rsidR="00FB623B">
        <w:t xml:space="preserve">payments made by </w:t>
      </w:r>
      <w:r w:rsidR="009D44A9">
        <w:t xml:space="preserve">the company to third parties (including to Purifying Illuminations Inc) were in breach of the Shareholder Agreement and also amounted to </w:t>
      </w:r>
      <w:r w:rsidR="009D44A9">
        <w:lastRenderedPageBreak/>
        <w:t xml:space="preserve">unfair prejudice.  </w:t>
      </w:r>
      <w:r w:rsidR="00B6765A">
        <w:t>It seems that Pantheon’s claim has since been settled.</w:t>
      </w:r>
    </w:p>
    <w:p w14:paraId="616DAC88" w14:textId="7F2B65F7" w:rsidR="009D44A9" w:rsidRDefault="009D44A9" w:rsidP="0089351F">
      <w:pPr>
        <w:pStyle w:val="1Adviceparalargegap"/>
      </w:pPr>
      <w:r>
        <w:t>It is unclear whether a Commercial Event</w:t>
      </w:r>
      <w:r w:rsidR="007B2B3F">
        <w:t xml:space="preserve"> </w:t>
      </w:r>
      <w:r>
        <w:t xml:space="preserve">(defined in the Shareholders Agreement as the sale of a Company product for an amount of not less </w:t>
      </w:r>
      <w:r w:rsidR="00012E24">
        <w:t>than</w:t>
      </w:r>
      <w:r>
        <w:t xml:space="preserve"> $250,000 or the execution of a contract with a third party to exploit one or more of the sub-licences granted by V</w:t>
      </w:r>
      <w:r w:rsidR="00012E24">
        <w:t>i</w:t>
      </w:r>
      <w:r>
        <w:t xml:space="preserve">tabeam </w:t>
      </w:r>
      <w:r w:rsidR="007B2B3F">
        <w:t xml:space="preserve">providing or payment to Vitabeam within one year of not less than $250,000) has occurred.  Under clause 11.3 of the Shareholders Agreement, such a Commercial Event was necessary to trigger payments of $105,000 per year each to Dr Vasilenko and </w:t>
      </w:r>
      <w:r w:rsidR="005907FF">
        <w:t>JMM</w:t>
      </w:r>
      <w:r w:rsidR="007B2B3F">
        <w:t xml:space="preserve"> and $48,000 to </w:t>
      </w:r>
      <w:r w:rsidR="005907FF">
        <w:t>one Jodie Hamlin.</w:t>
      </w:r>
    </w:p>
    <w:p w14:paraId="0979755C" w14:textId="675F14B2" w:rsidR="00FB623B" w:rsidRDefault="007B2B3F" w:rsidP="0089351F">
      <w:pPr>
        <w:pStyle w:val="1Adviceparalargegap"/>
      </w:pPr>
      <w:r>
        <w:t>Dr Vasilenko now wishes to do what he can to recover his rightful share in Vitabeam</w:t>
      </w:r>
      <w:r w:rsidR="00364FEE">
        <w:t xml:space="preserve">.  Ideally this would also involve </w:t>
      </w:r>
      <w:r w:rsidR="005907FF">
        <w:t xml:space="preserve">his </w:t>
      </w:r>
      <w:r w:rsidR="00364FEE">
        <w:t>recovering the intellectual property rights he</w:t>
      </w:r>
      <w:r w:rsidR="005907FF">
        <w:t xml:space="preserve"> </w:t>
      </w:r>
      <w:r w:rsidR="00364FEE">
        <w:t xml:space="preserve">transferred to </w:t>
      </w:r>
      <w:r w:rsidR="00B6765A">
        <w:t>PI</w:t>
      </w:r>
      <w:r w:rsidR="00364FEE">
        <w:t xml:space="preserve"> and which were then licensed to Vitabeam.</w:t>
      </w:r>
    </w:p>
    <w:p w14:paraId="2A53488F" w14:textId="53ABCE86" w:rsidR="00364FEE" w:rsidRPr="006B053A" w:rsidRDefault="00364FEE" w:rsidP="006B053A">
      <w:pPr>
        <w:pStyle w:val="AdviceBoldheading"/>
      </w:pPr>
      <w:r w:rsidRPr="006B053A">
        <w:t>The claims available to Dr Vasilenko</w:t>
      </w:r>
    </w:p>
    <w:p w14:paraId="011ED95A" w14:textId="0E514BF1" w:rsidR="00364FEE" w:rsidRDefault="00364FEE" w:rsidP="0089351F">
      <w:pPr>
        <w:pStyle w:val="1Adviceparalargegap"/>
      </w:pPr>
      <w:r>
        <w:t xml:space="preserve">In my view Dr Vasilenko has several options </w:t>
      </w:r>
      <w:r w:rsidR="00B6765A">
        <w:t>open</w:t>
      </w:r>
      <w:r>
        <w:t xml:space="preserve"> to him.  The first would be to follow the example of Pantheon and make a claim for unfair prejudice with a view to Vitabeam being ordered to pay damages amounting to the difference in the value of the shareholding as it should be and the value of its shareholding as wrongfully diluted</w:t>
      </w:r>
      <w:r w:rsidR="006B053A">
        <w:t xml:space="preserve"> or alternatively an order </w:t>
      </w:r>
      <w:r w:rsidR="007B0962">
        <w:t>requiring Vitabeam or its members to buy all Dr Vasilenko’s shares</w:t>
      </w:r>
      <w:r w:rsidR="008F1FBB">
        <w:t>.</w:t>
      </w:r>
    </w:p>
    <w:p w14:paraId="0A7A4B3E" w14:textId="1EEFF319" w:rsidR="008F1FBB" w:rsidRPr="003D73B5" w:rsidRDefault="008F1FBB" w:rsidP="00C10F2D">
      <w:pPr>
        <w:pStyle w:val="Adviceitalicheading"/>
      </w:pPr>
      <w:r w:rsidRPr="003D73B5">
        <w:t>Merits of an unfair prejudice petition</w:t>
      </w:r>
    </w:p>
    <w:p w14:paraId="2DE5363E" w14:textId="74E56CFA" w:rsidR="00F90590" w:rsidRDefault="00F90590" w:rsidP="0089351F">
      <w:pPr>
        <w:pStyle w:val="1Adviceparalargegap"/>
      </w:pPr>
      <w:r>
        <w:t xml:space="preserve">Section 994 of the 2006 </w:t>
      </w:r>
      <w:r w:rsidR="007B0962">
        <w:t>A</w:t>
      </w:r>
      <w:r>
        <w:t xml:space="preserve">ct provides that a member of a company may apply to the </w:t>
      </w:r>
      <w:r w:rsidR="00012E24">
        <w:t>court</w:t>
      </w:r>
      <w:r>
        <w:t xml:space="preserve"> b</w:t>
      </w:r>
      <w:r w:rsidR="00C10F2D">
        <w:t>y</w:t>
      </w:r>
      <w:r>
        <w:t xml:space="preserve"> petition on the ground that the company’s affairs are or have been conducted </w:t>
      </w:r>
      <w:r w:rsidRPr="00C10F2D">
        <w:rPr>
          <w:sz w:val="20"/>
        </w:rPr>
        <w:t>‘in a manner that is unfairly prejudicial to the interests of members generally or of some part of the members (including at least himself).</w:t>
      </w:r>
      <w:r w:rsidR="00C10F2D">
        <w:rPr>
          <w:sz w:val="20"/>
        </w:rPr>
        <w:t>’</w:t>
      </w:r>
    </w:p>
    <w:p w14:paraId="11955BD1" w14:textId="7CE1582D" w:rsidR="000A45CB" w:rsidRDefault="00F90590" w:rsidP="0089351F">
      <w:pPr>
        <w:pStyle w:val="1Adviceparalargegap"/>
      </w:pPr>
      <w:r>
        <w:lastRenderedPageBreak/>
        <w:t>It is trite law that the test for unfairness is an objective one</w:t>
      </w:r>
      <w:r w:rsidR="000A45CB">
        <w:t xml:space="preserve">.  As stated by Slade J in </w:t>
      </w:r>
      <w:r w:rsidR="000A45CB" w:rsidRPr="00C10F2D">
        <w:rPr>
          <w:i/>
          <w:iCs/>
        </w:rPr>
        <w:t>Re Bovey Hotel Ventures Limited</w:t>
      </w:r>
      <w:r w:rsidR="000A45CB">
        <w:t xml:space="preserve"> </w:t>
      </w:r>
      <w:r w:rsidR="00C10F2D">
        <w:t xml:space="preserve">(31 July 1981, unreported) </w:t>
      </w:r>
      <w:r w:rsidR="000A45CB">
        <w:t xml:space="preserve">and approved by Nourse J in </w:t>
      </w:r>
      <w:r w:rsidR="000A45CB" w:rsidRPr="00C10F2D">
        <w:rPr>
          <w:i/>
          <w:iCs/>
        </w:rPr>
        <w:t>Re R A Noble &amp; Sons (Clothing) Ltd</w:t>
      </w:r>
      <w:r w:rsidR="000A45CB" w:rsidRPr="000A45CB">
        <w:t xml:space="preserve"> - [1983] BCLC 273</w:t>
      </w:r>
      <w:r w:rsidR="000A45CB">
        <w:t>, ‘</w:t>
      </w:r>
      <w:r w:rsidR="000A45CB" w:rsidRPr="00C10F2D">
        <w:rPr>
          <w:sz w:val="20"/>
        </w:rPr>
        <w:t xml:space="preserve">a member of a company will be able to bring himself within the section if he can show that the value of his shareholding in the company has been seriously diminished or at least seriously jeopardised by reason of a course of conduct on the part of those persons who have had de facto control of the company, which has been unfair to the member concerned. The test of unfairness must, I think, be an objective, not a subjective, one. In other </w:t>
      </w:r>
      <w:r w:rsidR="00012E24" w:rsidRPr="00C10F2D">
        <w:rPr>
          <w:sz w:val="20"/>
        </w:rPr>
        <w:t>words,</w:t>
      </w:r>
      <w:r w:rsidR="000A45CB" w:rsidRPr="00C10F2D">
        <w:rPr>
          <w:sz w:val="20"/>
        </w:rPr>
        <w:t xml:space="preserve"> it is not necessary for the petitioner to show that the persons who have had de facto control of the company have acted as they did in the conscious knowledge that this was unfair to the petitioner or that they were acting in bad faith; the test, I think, is whether a reasonable bystander observing the consequences of their conduct, would regard it as having unfairly prejudiced the petitioner's interests.'</w:t>
      </w:r>
    </w:p>
    <w:p w14:paraId="29F0105B" w14:textId="7AED5567" w:rsidR="000A45CB" w:rsidRDefault="003D73B5" w:rsidP="0089351F">
      <w:pPr>
        <w:pStyle w:val="1Adviceparalargegap"/>
      </w:pPr>
      <w:r w:rsidRPr="00430159">
        <w:rPr>
          <w:highlight w:val="green"/>
        </w:rPr>
        <w:t xml:space="preserve">In my view the situation that Dr Vasilenko finds himself in is likely to be found to come within that definition of unfairness, assuming his evidence is accepted that the newly allotted shared were not offered to him, as an existing shareholder, pursuant to Article 22.3 </w:t>
      </w:r>
      <w:r w:rsidR="00FD7844" w:rsidRPr="00430159">
        <w:rPr>
          <w:highlight w:val="green"/>
        </w:rPr>
        <w:t xml:space="preserve">of the Articles of Association </w:t>
      </w:r>
      <w:r w:rsidRPr="00430159">
        <w:rPr>
          <w:highlight w:val="green"/>
        </w:rPr>
        <w:t>and/or they were allotted more than 5 years from the date of incorporation</w:t>
      </w:r>
      <w:r w:rsidR="00FD7844" w:rsidRPr="00430159">
        <w:rPr>
          <w:highlight w:val="green"/>
        </w:rPr>
        <w:t xml:space="preserve">, contrary to Article 21.4.3.   </w:t>
      </w:r>
      <w:r w:rsidR="00012E24" w:rsidRPr="00430159">
        <w:rPr>
          <w:highlight w:val="green"/>
        </w:rPr>
        <w:t>Moreover,</w:t>
      </w:r>
      <w:r w:rsidR="00FD7844" w:rsidRPr="00430159">
        <w:rPr>
          <w:highlight w:val="green"/>
        </w:rPr>
        <w:t xml:space="preserve"> I consider there is a reasonable chance of a court concluding that the consequent dilution of Dr Vasilenko’s shareholding was prejudicial to Dr Vasilenko, notwithstanding the fact that under Article 22.3 he would have had to pay for any new allotment.  In other </w:t>
      </w:r>
      <w:r w:rsidR="00012E24" w:rsidRPr="00430159">
        <w:rPr>
          <w:highlight w:val="green"/>
        </w:rPr>
        <w:t>words,</w:t>
      </w:r>
      <w:r w:rsidR="00FD7844" w:rsidRPr="00430159">
        <w:rPr>
          <w:highlight w:val="green"/>
        </w:rPr>
        <w:t xml:space="preserve"> I consider that, factually</w:t>
      </w:r>
      <w:r w:rsidR="00C10F2D" w:rsidRPr="00430159">
        <w:rPr>
          <w:highlight w:val="green"/>
        </w:rPr>
        <w:t>,</w:t>
      </w:r>
      <w:r w:rsidR="00FD7844" w:rsidRPr="00430159">
        <w:rPr>
          <w:highlight w:val="green"/>
        </w:rPr>
        <w:t xml:space="preserve"> it is </w:t>
      </w:r>
      <w:r w:rsidR="007B0962" w:rsidRPr="00430159">
        <w:rPr>
          <w:highlight w:val="green"/>
        </w:rPr>
        <w:t xml:space="preserve">more </w:t>
      </w:r>
      <w:r w:rsidR="00FD7844" w:rsidRPr="00430159">
        <w:rPr>
          <w:highlight w:val="green"/>
        </w:rPr>
        <w:t xml:space="preserve">likely </w:t>
      </w:r>
      <w:r w:rsidR="007B0962" w:rsidRPr="00430159">
        <w:rPr>
          <w:highlight w:val="green"/>
        </w:rPr>
        <w:t xml:space="preserve">than not </w:t>
      </w:r>
      <w:r w:rsidR="00FD7844" w:rsidRPr="00430159">
        <w:rPr>
          <w:highlight w:val="green"/>
        </w:rPr>
        <w:t>that a Court would find that Dr Vasilenko surmounted the threshold for an unfair prejudice petition.</w:t>
      </w:r>
      <w:r w:rsidR="00683B6D" w:rsidRPr="00430159">
        <w:rPr>
          <w:highlight w:val="green"/>
        </w:rPr>
        <w:t xml:space="preserve">  This is bolstered by the contention of the failure to hold general meetings.</w:t>
      </w:r>
      <w:r w:rsidR="00A22821">
        <w:t xml:space="preserve">  </w:t>
      </w:r>
      <w:r w:rsidR="00A22821" w:rsidRPr="00430159">
        <w:rPr>
          <w:color w:val="ED7D31" w:themeColor="accent2"/>
        </w:rPr>
        <w:t xml:space="preserve">One hesitation about </w:t>
      </w:r>
      <w:r w:rsidR="00C10F2D" w:rsidRPr="00430159">
        <w:rPr>
          <w:color w:val="ED7D31" w:themeColor="accent2"/>
        </w:rPr>
        <w:t>Dr Vasilenko’s position</w:t>
      </w:r>
      <w:r w:rsidR="00A22821" w:rsidRPr="00430159">
        <w:rPr>
          <w:color w:val="ED7D31" w:themeColor="accent2"/>
        </w:rPr>
        <w:t xml:space="preserve"> relates to the question of whether Dr V</w:t>
      </w:r>
      <w:r w:rsidR="00012E24" w:rsidRPr="00430159">
        <w:rPr>
          <w:color w:val="ED7D31" w:themeColor="accent2"/>
        </w:rPr>
        <w:t>a</w:t>
      </w:r>
      <w:r w:rsidR="00A22821" w:rsidRPr="00430159">
        <w:rPr>
          <w:color w:val="ED7D31" w:themeColor="accent2"/>
        </w:rPr>
        <w:t xml:space="preserve">silenko might be said to acquiesced in the way Vitabeam was run notwithstanding the terms of the Articles.  If the Court found that he had, it is unlikely to grant relief under an unfair prejudice petition.  </w:t>
      </w:r>
      <w:r w:rsidR="007B0962" w:rsidRPr="00430159">
        <w:rPr>
          <w:highlight w:val="green"/>
        </w:rPr>
        <w:t>F</w:t>
      </w:r>
      <w:r w:rsidR="00A22821" w:rsidRPr="00430159">
        <w:rPr>
          <w:highlight w:val="green"/>
        </w:rPr>
        <w:t>rom what Dr V</w:t>
      </w:r>
      <w:r w:rsidR="00683B6D" w:rsidRPr="00430159">
        <w:rPr>
          <w:highlight w:val="green"/>
        </w:rPr>
        <w:t>a</w:t>
      </w:r>
      <w:r w:rsidR="00A22821" w:rsidRPr="00430159">
        <w:rPr>
          <w:highlight w:val="green"/>
        </w:rPr>
        <w:t xml:space="preserve">silenko tells me there does not appear to have been any acquiescence but at present we do not know what case </w:t>
      </w:r>
      <w:r w:rsidR="00C10F2D" w:rsidRPr="00430159">
        <w:rPr>
          <w:highlight w:val="green"/>
        </w:rPr>
        <w:t>JMM</w:t>
      </w:r>
      <w:r w:rsidR="00A22821" w:rsidRPr="00430159">
        <w:rPr>
          <w:highlight w:val="green"/>
        </w:rPr>
        <w:t xml:space="preserve"> will put </w:t>
      </w:r>
      <w:r w:rsidR="00A22821" w:rsidRPr="00430159">
        <w:rPr>
          <w:highlight w:val="green"/>
        </w:rPr>
        <w:lastRenderedPageBreak/>
        <w:t>forward</w:t>
      </w:r>
      <w:r w:rsidR="00C10F2D" w:rsidRPr="00430159">
        <w:rPr>
          <w:highlight w:val="green"/>
        </w:rPr>
        <w:t xml:space="preserve"> given his lack of engagement hitherto.</w:t>
      </w:r>
    </w:p>
    <w:p w14:paraId="62EFE454" w14:textId="54D5C446" w:rsidR="00BB7F96" w:rsidRDefault="00683B6D" w:rsidP="0089351F">
      <w:pPr>
        <w:pStyle w:val="1Adviceparalargegap"/>
      </w:pPr>
      <w:r>
        <w:t xml:space="preserve">Notwithstanding </w:t>
      </w:r>
      <w:r w:rsidR="001A54C7">
        <w:t>the references to it</w:t>
      </w:r>
      <w:r>
        <w:t xml:space="preserve"> in the original letter of claim, </w:t>
      </w:r>
      <w:r w:rsidR="00FD7844">
        <w:t>I do not consider that Dr Vasilenko would personally be able to rely on the Shareholders’ Agreement (or the Licence Agreement</w:t>
      </w:r>
      <w:r w:rsidR="001A54C7">
        <w:t>)</w:t>
      </w:r>
      <w:r w:rsidR="00FD7844">
        <w:t xml:space="preserve"> on the basis that, whilst he was a party to </w:t>
      </w:r>
      <w:r w:rsidR="001A54C7">
        <w:t>the</w:t>
      </w:r>
      <w:r w:rsidR="007B0962">
        <w:t>m</w:t>
      </w:r>
      <w:r w:rsidR="001A54C7">
        <w:t xml:space="preserve"> both</w:t>
      </w:r>
      <w:r w:rsidR="007B0962">
        <w:t>,</w:t>
      </w:r>
      <w:r w:rsidR="00FD7844">
        <w:t xml:space="preserve"> he was given no rights under </w:t>
      </w:r>
      <w:r w:rsidR="001A54C7">
        <w:t>them</w:t>
      </w:r>
      <w:r w:rsidR="00235069">
        <w:t xml:space="preserve"> (save in relation to salary payments</w:t>
      </w:r>
      <w:r w:rsidR="001A54C7">
        <w:t xml:space="preserve"> under the Shareholders Agreement</w:t>
      </w:r>
      <w:r w:rsidR="00235069">
        <w:t>)</w:t>
      </w:r>
      <w:r w:rsidR="00FD7844">
        <w:t xml:space="preserve"> – the rights were given to </w:t>
      </w:r>
      <w:r w:rsidR="001A54C7">
        <w:t>PI</w:t>
      </w:r>
      <w:r w:rsidR="00FD7844">
        <w:t xml:space="preserve">, which has been dissolved.  </w:t>
      </w:r>
      <w:r w:rsidR="00012E24" w:rsidRPr="00430159">
        <w:rPr>
          <w:highlight w:val="red"/>
        </w:rPr>
        <w:t>Accordingly,</w:t>
      </w:r>
      <w:r w:rsidR="00FD7844" w:rsidRPr="00430159">
        <w:rPr>
          <w:highlight w:val="red"/>
        </w:rPr>
        <w:t xml:space="preserve"> I</w:t>
      </w:r>
      <w:r w:rsidR="001A54C7" w:rsidRPr="00430159">
        <w:rPr>
          <w:highlight w:val="red"/>
        </w:rPr>
        <w:t xml:space="preserve"> am afraid I</w:t>
      </w:r>
      <w:r w:rsidR="00FD7844" w:rsidRPr="00430159">
        <w:rPr>
          <w:highlight w:val="red"/>
        </w:rPr>
        <w:t xml:space="preserve"> do not con</w:t>
      </w:r>
      <w:r w:rsidR="00BB7F96" w:rsidRPr="00430159">
        <w:rPr>
          <w:highlight w:val="red"/>
        </w:rPr>
        <w:t xml:space="preserve">sider he has a realistic claim for a reduction in his shareholding from 51% to 26.5% or indeed to claim for the shares due </w:t>
      </w:r>
      <w:r w:rsidR="001A54C7" w:rsidRPr="00430159">
        <w:rPr>
          <w:highlight w:val="red"/>
        </w:rPr>
        <w:t xml:space="preserve">to PI </w:t>
      </w:r>
      <w:r w:rsidR="00BB7F96" w:rsidRPr="00430159">
        <w:rPr>
          <w:highlight w:val="red"/>
        </w:rPr>
        <w:t xml:space="preserve">under the Licensing Agreement.  </w:t>
      </w:r>
      <w:r w:rsidR="001A54C7" w:rsidRPr="00430159">
        <w:rPr>
          <w:highlight w:val="red"/>
        </w:rPr>
        <w:t>Action</w:t>
      </w:r>
      <w:r w:rsidR="00BB7F96" w:rsidRPr="00430159">
        <w:rPr>
          <w:highlight w:val="red"/>
        </w:rPr>
        <w:t xml:space="preserve"> could (and probably should) have been </w:t>
      </w:r>
      <w:r w:rsidR="001A54C7" w:rsidRPr="00430159">
        <w:rPr>
          <w:highlight w:val="red"/>
        </w:rPr>
        <w:t>taken</w:t>
      </w:r>
      <w:r w:rsidR="00BB7F96" w:rsidRPr="00430159">
        <w:rPr>
          <w:highlight w:val="red"/>
        </w:rPr>
        <w:t xml:space="preserve"> by </w:t>
      </w:r>
      <w:r w:rsidR="001A54C7" w:rsidRPr="00430159">
        <w:rPr>
          <w:highlight w:val="red"/>
        </w:rPr>
        <w:t>PI</w:t>
      </w:r>
      <w:r w:rsidR="00BB7F96" w:rsidRPr="00430159">
        <w:rPr>
          <w:highlight w:val="red"/>
        </w:rPr>
        <w:t xml:space="preserve"> before it was dissolved.  In any event seeking to claim breach of contract under the Licensing Agreement now would undoubtably be met by a limitation defence.</w:t>
      </w:r>
    </w:p>
    <w:p w14:paraId="22C07A64" w14:textId="631CE048" w:rsidR="00D75BFA" w:rsidRDefault="006B053A" w:rsidP="0089351F">
      <w:pPr>
        <w:pStyle w:val="1Adviceparalargegap"/>
      </w:pPr>
      <w:r>
        <w:t xml:space="preserve">As my instructing solicitor has pointed out, the difficulty with </w:t>
      </w:r>
      <w:r w:rsidR="00683B6D">
        <w:t>the unfair prejudice petition i</w:t>
      </w:r>
      <w:r w:rsidR="001A54C7">
        <w:t>s</w:t>
      </w:r>
      <w:r w:rsidR="00683B6D">
        <w:t xml:space="preserve"> </w:t>
      </w:r>
      <w:r>
        <w:t xml:space="preserve"> that it is unclear what </w:t>
      </w:r>
      <w:r w:rsidR="007B0962">
        <w:t>Vitabeam</w:t>
      </w:r>
      <w:r>
        <w:t xml:space="preserve"> is actually worth</w:t>
      </w:r>
      <w:r w:rsidR="001A54C7">
        <w:t xml:space="preserve"> and so we can have little confidence about the sums that Dr Vasilenko might receive if successful.  </w:t>
      </w:r>
      <w:r>
        <w:t xml:space="preserve"> Pantheon’s approach was based on a valuation of £9m.  This in turn was apparently based on a valuation that </w:t>
      </w:r>
      <w:r w:rsidR="001A54C7">
        <w:t>JMM</w:t>
      </w:r>
      <w:r>
        <w:t xml:space="preserve"> had put </w:t>
      </w:r>
      <w:r w:rsidR="001A54C7">
        <w:t>Vitabeam</w:t>
      </w:r>
      <w:r>
        <w:t xml:space="preserve"> when seeking investment</w:t>
      </w:r>
      <w:r w:rsidR="001A54C7">
        <w:t xml:space="preserve"> or to borrow money</w:t>
      </w:r>
      <w:r>
        <w:t xml:space="preserve">.  </w:t>
      </w:r>
      <w:r w:rsidR="001A54C7">
        <w:t>S</w:t>
      </w:r>
      <w:r>
        <w:t>uch a valuation is very substantially at odd</w:t>
      </w:r>
      <w:r w:rsidR="00C468CE">
        <w:t>s</w:t>
      </w:r>
      <w:r>
        <w:t xml:space="preserve"> with </w:t>
      </w:r>
      <w:r w:rsidR="00C468CE">
        <w:t xml:space="preserve">the </w:t>
      </w:r>
      <w:r w:rsidR="001A54C7">
        <w:t xml:space="preserve">book </w:t>
      </w:r>
      <w:r w:rsidR="00C468CE">
        <w:t xml:space="preserve">value given in the most recent accounts (September 2020) of £1,184,656.  </w:t>
      </w:r>
      <w:r w:rsidR="00012E24">
        <w:t>Were that the</w:t>
      </w:r>
      <w:r w:rsidR="00C468CE">
        <w:t xml:space="preserve"> correct value, I calculate that the value of the difference between his initial shareholding of 33% and his current shareholding of 26.5% would be £77,003 odd.  </w:t>
      </w:r>
      <w:r w:rsidR="00D75BFA" w:rsidRPr="00430159">
        <w:rPr>
          <w:color w:val="ED7D31" w:themeColor="accent2"/>
        </w:rPr>
        <w:t xml:space="preserve">If </w:t>
      </w:r>
      <w:r w:rsidR="00C468CE" w:rsidRPr="00430159">
        <w:rPr>
          <w:color w:val="ED7D31" w:themeColor="accent2"/>
        </w:rPr>
        <w:t xml:space="preserve"> an order </w:t>
      </w:r>
      <w:r w:rsidR="00D75BFA" w:rsidRPr="00430159">
        <w:rPr>
          <w:color w:val="ED7D31" w:themeColor="accent2"/>
        </w:rPr>
        <w:t xml:space="preserve">was made </w:t>
      </w:r>
      <w:r w:rsidR="00FC0B4B" w:rsidRPr="00430159">
        <w:rPr>
          <w:color w:val="ED7D31" w:themeColor="accent2"/>
        </w:rPr>
        <w:t>under section 996 (2) (e)</w:t>
      </w:r>
      <w:r w:rsidR="00D75BFA" w:rsidRPr="00430159">
        <w:rPr>
          <w:color w:val="ED7D31" w:themeColor="accent2"/>
        </w:rPr>
        <w:t xml:space="preserve"> </w:t>
      </w:r>
      <w:r w:rsidR="00FC0B4B" w:rsidRPr="00430159">
        <w:rPr>
          <w:color w:val="ED7D31" w:themeColor="accent2"/>
        </w:rPr>
        <w:t xml:space="preserve">requiring the members of Vitabeam or Vitabeam itself to buy </w:t>
      </w:r>
      <w:r w:rsidR="00D75BFA" w:rsidRPr="00430159">
        <w:rPr>
          <w:color w:val="ED7D31" w:themeColor="accent2"/>
        </w:rPr>
        <w:t>Dr Vasilenko’s</w:t>
      </w:r>
      <w:r w:rsidR="00FC0B4B" w:rsidRPr="00430159">
        <w:rPr>
          <w:color w:val="ED7D31" w:themeColor="accent2"/>
        </w:rPr>
        <w:t xml:space="preserve"> entire shareholding</w:t>
      </w:r>
      <w:r w:rsidR="00D75BFA" w:rsidRPr="00430159">
        <w:rPr>
          <w:color w:val="ED7D31" w:themeColor="accent2"/>
        </w:rPr>
        <w:t xml:space="preserve">, on </w:t>
      </w:r>
      <w:r w:rsidR="00FC0B4B" w:rsidRPr="00430159">
        <w:rPr>
          <w:color w:val="ED7D31" w:themeColor="accent2"/>
        </w:rPr>
        <w:t xml:space="preserve">the basis </w:t>
      </w:r>
      <w:r w:rsidR="00D75BFA" w:rsidRPr="00430159">
        <w:rPr>
          <w:color w:val="ED7D31" w:themeColor="accent2"/>
        </w:rPr>
        <w:t xml:space="preserve">of the </w:t>
      </w:r>
      <w:r w:rsidR="001A54C7" w:rsidRPr="00430159">
        <w:rPr>
          <w:color w:val="ED7D31" w:themeColor="accent2"/>
        </w:rPr>
        <w:t>book value</w:t>
      </w:r>
      <w:r w:rsidR="00FC0B4B" w:rsidRPr="00430159">
        <w:rPr>
          <w:color w:val="ED7D31" w:themeColor="accent2"/>
        </w:rPr>
        <w:t xml:space="preserve"> </w:t>
      </w:r>
      <w:r w:rsidR="008F1FBB" w:rsidRPr="00430159">
        <w:rPr>
          <w:color w:val="ED7D31" w:themeColor="accent2"/>
        </w:rPr>
        <w:t>t</w:t>
      </w:r>
      <w:r w:rsidR="00C468CE" w:rsidRPr="00430159">
        <w:rPr>
          <w:color w:val="ED7D31" w:themeColor="accent2"/>
        </w:rPr>
        <w:t xml:space="preserve">he total value of his 33% shareholding would be £390,936 odd. </w:t>
      </w:r>
      <w:r w:rsidR="00D75BFA" w:rsidRPr="00430159">
        <w:rPr>
          <w:color w:val="ED7D31" w:themeColor="accent2"/>
        </w:rPr>
        <w:t xml:space="preserve">In fact, what usually happens in case where the Court orders a company or its members to be the petitioners’ shares under section 996 of the 2006 Act is that an </w:t>
      </w:r>
      <w:r w:rsidR="00D75BFA" w:rsidRPr="00430159">
        <w:rPr>
          <w:color w:val="ED7D31" w:themeColor="accent2"/>
        </w:rPr>
        <w:lastRenderedPageBreak/>
        <w:t>independent valuer is brought in to value the company – it is difficult to have any realistic idea of what a valuer would value the company at.</w:t>
      </w:r>
    </w:p>
    <w:p w14:paraId="3E956927" w14:textId="6CADFEA5" w:rsidR="006B053A" w:rsidRPr="00430159" w:rsidRDefault="001A54C7" w:rsidP="0089351F">
      <w:pPr>
        <w:pStyle w:val="1Adviceparalargegap"/>
        <w:rPr>
          <w:color w:val="ED7D31" w:themeColor="accent2"/>
        </w:rPr>
      </w:pPr>
      <w:r w:rsidRPr="00430159">
        <w:rPr>
          <w:color w:val="ED7D31" w:themeColor="accent2"/>
        </w:rPr>
        <w:t>In the circumstances</w:t>
      </w:r>
      <w:r w:rsidR="00683B6D" w:rsidRPr="00430159">
        <w:rPr>
          <w:color w:val="ED7D31" w:themeColor="accent2"/>
        </w:rPr>
        <w:t>, I consider that there would be merit in an unfair prejudice petition but it is unclear how much Dr Vasilenko would recover if successful.</w:t>
      </w:r>
    </w:p>
    <w:p w14:paraId="4D400C0B" w14:textId="6E374F16" w:rsidR="008F1FBB" w:rsidRPr="00D1538D" w:rsidRDefault="00683B6D" w:rsidP="001A54C7">
      <w:pPr>
        <w:pStyle w:val="Adviceitalicheading"/>
      </w:pPr>
      <w:r w:rsidRPr="00D1538D">
        <w:t>Winding up on the just and equitable ground</w:t>
      </w:r>
    </w:p>
    <w:p w14:paraId="4BE8B97D" w14:textId="18D056A9" w:rsidR="00AC0530" w:rsidRPr="00AC0530" w:rsidRDefault="00683B6D" w:rsidP="0089351F">
      <w:pPr>
        <w:pStyle w:val="1Adviceparalargegap"/>
      </w:pPr>
      <w:r>
        <w:t>Section 122</w:t>
      </w:r>
      <w:r w:rsidR="006062C9">
        <w:t xml:space="preserve"> </w:t>
      </w:r>
      <w:r w:rsidR="00235069">
        <w:t xml:space="preserve">(1) (g) </w:t>
      </w:r>
      <w:r w:rsidR="006062C9">
        <w:t xml:space="preserve">of the Insolvency Act </w:t>
      </w:r>
      <w:r w:rsidR="00D1538D">
        <w:t>1986</w:t>
      </w:r>
      <w:r w:rsidR="00235069">
        <w:t xml:space="preserve"> gives power to the court to wind up a company on the grounds that it would be just and equitable to do so.  Curiously section 12</w:t>
      </w:r>
      <w:r w:rsidR="000D12FA">
        <w:t>4</w:t>
      </w:r>
      <w:r w:rsidR="00235069">
        <w:t xml:space="preserve"> gives the </w:t>
      </w:r>
      <w:r w:rsidR="000D12FA">
        <w:t>right to petition for the winding up of a company</w:t>
      </w:r>
      <w:r w:rsidR="00235069">
        <w:t xml:space="preserve"> to, amongst others, contributories to the Company but not specifically members of the Company</w:t>
      </w:r>
      <w:r w:rsidR="007B0962">
        <w:t xml:space="preserve"> but I consider that Dr Vasilenko is likely to be found to have locus </w:t>
      </w:r>
      <w:proofErr w:type="spellStart"/>
      <w:r w:rsidR="007B0962">
        <w:t>standii</w:t>
      </w:r>
      <w:proofErr w:type="spellEnd"/>
      <w:r w:rsidR="0048337C">
        <w:t xml:space="preserve">.  Following the leading case of </w:t>
      </w:r>
      <w:r w:rsidR="0048337C" w:rsidRPr="001A54C7">
        <w:rPr>
          <w:i/>
          <w:iCs/>
        </w:rPr>
        <w:t xml:space="preserve">Ebrahimi </w:t>
      </w:r>
      <w:r w:rsidR="00F00D2E" w:rsidRPr="001A54C7">
        <w:rPr>
          <w:i/>
          <w:iCs/>
        </w:rPr>
        <w:t>v Westbourne Galleries Limited</w:t>
      </w:r>
      <w:r w:rsidR="00F00D2E">
        <w:t xml:space="preserve"> [1973] AC 360 section 122(1) (g) </w:t>
      </w:r>
      <w:r w:rsidR="001A54C7">
        <w:t xml:space="preserve">gives </w:t>
      </w:r>
      <w:r w:rsidR="00F00D2E">
        <w:t xml:space="preserve">the court the power </w:t>
      </w:r>
      <w:r w:rsidR="00F00D2E" w:rsidRPr="001A54C7">
        <w:rPr>
          <w:sz w:val="20"/>
        </w:rPr>
        <w:t xml:space="preserve">‘to subject the exercise of legal rights to equitable considerations, that is, of a personal character arising between one individual and another, which may make it unjust, or inequitable, to insist on legal rights, or to exercise them in a particular way.’ </w:t>
      </w:r>
      <w:r w:rsidR="00F00D2E">
        <w:t>(per Lord Wilberforce at 379</w:t>
      </w:r>
      <w:r w:rsidR="00AC0530">
        <w:t xml:space="preserve">).  Lord Wilberforce went on to say that  </w:t>
      </w:r>
      <w:r w:rsidR="001A54C7">
        <w:t xml:space="preserve">the </w:t>
      </w:r>
      <w:r w:rsidR="00AC0530">
        <w:t xml:space="preserve">basis for the court to superimpose such equitable considerations </w:t>
      </w:r>
      <w:r w:rsidR="00AC0530" w:rsidRPr="001A54C7">
        <w:rPr>
          <w:sz w:val="20"/>
        </w:rPr>
        <w:t xml:space="preserve">‘typically may include one, or probably more, of the following elements: (i) an association formed or continued on the basis of a personal relationship, involving mutual confidence - this element will often be found where a pre-existing partnership has been converted into a limited company; (ii) an agreement, or understanding, that all, or some (for there may be </w:t>
      </w:r>
      <w:r w:rsidR="001A54C7">
        <w:rPr>
          <w:sz w:val="20"/>
        </w:rPr>
        <w:t>“s</w:t>
      </w:r>
      <w:r w:rsidR="00AC0530" w:rsidRPr="001A54C7">
        <w:rPr>
          <w:sz w:val="20"/>
        </w:rPr>
        <w:t>leeping</w:t>
      </w:r>
      <w:r w:rsidR="001A54C7">
        <w:rPr>
          <w:sz w:val="20"/>
        </w:rPr>
        <w:t>”</w:t>
      </w:r>
      <w:r w:rsidR="00AC0530" w:rsidRPr="001A54C7">
        <w:rPr>
          <w:sz w:val="20"/>
        </w:rPr>
        <w:t xml:space="preserve"> members), of the shareholders shall participate in the conduct of the business; (iii) restriction upon the transfer of the members' interest in the company - so that if confidence is lost, or one member is removed from management, he cannot take out his stake and go elsewhere.</w:t>
      </w:r>
    </w:p>
    <w:p w14:paraId="04A2C482" w14:textId="693C14D7" w:rsidR="000D12FA" w:rsidRDefault="00AC0530" w:rsidP="0089351F">
      <w:pPr>
        <w:pStyle w:val="1Adviceparalargegap"/>
      </w:pPr>
      <w:r>
        <w:t xml:space="preserve">In my view, arguably there was at the outset such a relationship of mutual confidence in </w:t>
      </w:r>
      <w:r w:rsidR="00012E24">
        <w:t>this</w:t>
      </w:r>
      <w:r>
        <w:t xml:space="preserve"> case and there is a restriction upon the transfer of members interests</w:t>
      </w:r>
      <w:r w:rsidR="00756614">
        <w:t xml:space="preserve"> (see Article 37.2 </w:t>
      </w:r>
      <w:r w:rsidR="00756614">
        <w:lastRenderedPageBreak/>
        <w:t>of the Articles</w:t>
      </w:r>
      <w:r w:rsidR="001A54C7">
        <w:t>)</w:t>
      </w:r>
      <w:r w:rsidR="00756614">
        <w:t xml:space="preserve">.  </w:t>
      </w:r>
      <w:proofErr w:type="gramStart"/>
      <w:r w:rsidR="00756614">
        <w:t>So</w:t>
      </w:r>
      <w:proofErr w:type="gramEnd"/>
      <w:r w:rsidR="0089351F">
        <w:t xml:space="preserve"> </w:t>
      </w:r>
      <w:r w:rsidR="00756614">
        <w:t xml:space="preserve">I consider that it could be argued that the facts of the case came within the guidance of Lord Wilberforce and accordingly it would be open to the court to exercise its power in the subsection.  </w:t>
      </w:r>
      <w:r w:rsidR="001A54C7">
        <w:t>However</w:t>
      </w:r>
      <w:r w:rsidR="0089351F">
        <w:t>,</w:t>
      </w:r>
      <w:r w:rsidR="001A54C7">
        <w:t xml:space="preserve"> w</w:t>
      </w:r>
      <w:r w:rsidR="00756614">
        <w:t xml:space="preserve">hether </w:t>
      </w:r>
      <w:r w:rsidR="0089351F">
        <w:t>the court</w:t>
      </w:r>
      <w:r w:rsidR="00756614">
        <w:t xml:space="preserve"> would take the draconian step of winding up the company based on </w:t>
      </w:r>
      <w:r w:rsidR="004736D3">
        <w:t>Dr Vasilenko’s case that his shareholding has been diluted is very much open to question.  The usual case where a company is wound up under section 122 (1) (g) is where there was deadlock between members/directors or there had been an irretr</w:t>
      </w:r>
      <w:r w:rsidR="00012E24">
        <w:t>ievable</w:t>
      </w:r>
      <w:r w:rsidR="004736D3">
        <w:t xml:space="preserve"> breakdown in trust and confidence as between them.  I do not consider there could be properly said to be deadlock in this case but there is an argument to say that trust and confidence has broken down as between </w:t>
      </w:r>
      <w:r w:rsidR="001A54C7">
        <w:t>JMM</w:t>
      </w:r>
      <w:r w:rsidR="004736D3">
        <w:t xml:space="preserve"> and Dr Vasilenko</w:t>
      </w:r>
      <w:r w:rsidR="001A54C7">
        <w:t xml:space="preserve"> given the action</w:t>
      </w:r>
      <w:r w:rsidR="007B0962">
        <w:t>s of JMM in breach of the Articles and his subsequent refusal to engage</w:t>
      </w:r>
      <w:r w:rsidR="004736D3">
        <w:t>.  If that alone were the issue, I would have advised that there was</w:t>
      </w:r>
      <w:r w:rsidR="0089351F">
        <w:t xml:space="preserve"> </w:t>
      </w:r>
      <w:r w:rsidR="007B0962">
        <w:t>a better than evens</w:t>
      </w:r>
      <w:r w:rsidR="004736D3">
        <w:t xml:space="preserve"> prospect of success given the actions of </w:t>
      </w:r>
      <w:r w:rsidR="0089351F">
        <w:t>JMM</w:t>
      </w:r>
      <w:r w:rsidR="004736D3">
        <w:t>.</w:t>
      </w:r>
    </w:p>
    <w:p w14:paraId="022ED378" w14:textId="64D96092" w:rsidR="004736D3" w:rsidRDefault="004736D3" w:rsidP="0089351F">
      <w:pPr>
        <w:pStyle w:val="1Adviceparalargegap"/>
      </w:pPr>
      <w:r w:rsidRPr="00430159">
        <w:rPr>
          <w:color w:val="ED7D31" w:themeColor="accent2"/>
        </w:rPr>
        <w:t>However, what concerns me is that</w:t>
      </w:r>
      <w:r w:rsidR="00553537" w:rsidRPr="00430159">
        <w:rPr>
          <w:color w:val="ED7D31" w:themeColor="accent2"/>
        </w:rPr>
        <w:t xml:space="preserve"> section 125 (2) of the 1986 Act provides that if the court is of </w:t>
      </w:r>
      <w:r w:rsidR="00553537" w:rsidRPr="00430159">
        <w:rPr>
          <w:color w:val="ED7D31" w:themeColor="accent2"/>
          <w:sz w:val="20"/>
        </w:rPr>
        <w:t>‘the opinion both that some other remedy is available to the petitioners and that they are acting unreasonably in seeking to have the company wound up instead of pursuing that other remedy.’</w:t>
      </w:r>
      <w:r w:rsidR="00553537" w:rsidRPr="00430159">
        <w:rPr>
          <w:color w:val="ED7D31" w:themeColor="accent2"/>
        </w:rPr>
        <w:t xml:space="preserve">  In this case </w:t>
      </w:r>
      <w:r w:rsidR="0089351F" w:rsidRPr="00430159">
        <w:rPr>
          <w:color w:val="ED7D31" w:themeColor="accent2"/>
        </w:rPr>
        <w:t>it is clear</w:t>
      </w:r>
      <w:r w:rsidR="00553537" w:rsidRPr="00430159">
        <w:rPr>
          <w:color w:val="ED7D31" w:themeColor="accent2"/>
        </w:rPr>
        <w:t xml:space="preserve"> that there would be another remedy available to Dr Vasilenko, namely </w:t>
      </w:r>
      <w:r w:rsidR="007B0962" w:rsidRPr="00430159">
        <w:rPr>
          <w:color w:val="ED7D31" w:themeColor="accent2"/>
        </w:rPr>
        <w:t>the</w:t>
      </w:r>
      <w:r w:rsidR="00553537" w:rsidRPr="00430159">
        <w:rPr>
          <w:color w:val="ED7D31" w:themeColor="accent2"/>
        </w:rPr>
        <w:t xml:space="preserve"> unfair prejudice petition.  </w:t>
      </w:r>
      <w:r w:rsidR="00AD2E2F">
        <w:t xml:space="preserve">As the editors of Palmers state, </w:t>
      </w:r>
      <w:r w:rsidR="00AD2E2F" w:rsidRPr="007B0962">
        <w:rPr>
          <w:sz w:val="20"/>
        </w:rPr>
        <w:t>‘since the purpose of the unfair prejudice provisions is to provide an alternative to the winding up order and so avoid the destruction of what may be a perfectly viable business, it is necessary to explain why it is reasonable to proceed with the winding up claim where a Pt 30 order is available as well.’</w:t>
      </w:r>
      <w:r w:rsidR="00AD2E2F">
        <w:t xml:space="preserve">  In my opinion there is a very real danger that the court would conclude that it was not right to wind the company up in this case where it was open to Dr Vasilenko</w:t>
      </w:r>
      <w:r w:rsidR="0089351F">
        <w:t xml:space="preserve"> to issue an unfair prejudice petition. </w:t>
      </w:r>
      <w:r w:rsidR="00AD2E2F">
        <w:t xml:space="preserve"> Having considered it in detail it would be somewhat difficult to formulate a convincing argument why it would </w:t>
      </w:r>
      <w:r w:rsidR="00A77A9A">
        <w:t>b</w:t>
      </w:r>
      <w:r w:rsidR="00012E24">
        <w:t xml:space="preserve">e </w:t>
      </w:r>
      <w:r w:rsidR="00AD2E2F">
        <w:t xml:space="preserve">reasonable to pursue a just and equitable winding up </w:t>
      </w:r>
      <w:r w:rsidR="00A77A9A">
        <w:t>petition in</w:t>
      </w:r>
      <w:r w:rsidR="00AD2E2F">
        <w:t xml:space="preserve"> circumstances where it was open to </w:t>
      </w:r>
      <w:r w:rsidR="000007AE">
        <w:t>issue an unfair prejudice petition.</w:t>
      </w:r>
      <w:r w:rsidR="0089351F">
        <w:t xml:space="preserve">  I suppose the best we could do is to argue </w:t>
      </w:r>
      <w:r w:rsidR="0089351F">
        <w:lastRenderedPageBreak/>
        <w:t>that there was a need to wind up the company so that Dr Vasilenko might recover the rights to the patents held by Vitabeam; however that calls into question whether he has any rights to such patents since he had previously transferred them to PI.</w:t>
      </w:r>
    </w:p>
    <w:p w14:paraId="0E5392A2" w14:textId="17EC72C9" w:rsidR="000007AE" w:rsidRDefault="000007AE" w:rsidP="0089351F">
      <w:pPr>
        <w:pStyle w:val="1Adviceparalargegap"/>
      </w:pPr>
      <w:r>
        <w:t xml:space="preserve">It </w:t>
      </w:r>
      <w:r w:rsidR="0089351F">
        <w:t>would be</w:t>
      </w:r>
      <w:r>
        <w:t xml:space="preserve"> possible to couple a winding up petition to </w:t>
      </w:r>
      <w:r w:rsidR="00012E24">
        <w:t>an</w:t>
      </w:r>
      <w:r>
        <w:t xml:space="preserve"> unfair prejudice petition, albeit para </w:t>
      </w:r>
      <w:r w:rsidR="0099364C">
        <w:t>22.1 of the Practice Direction – Insolvency Proceeding discourages such alternative claims unless the winding up order is the remedy which the Petitioner prefers or it is thought to be the only remedy available.</w:t>
      </w:r>
    </w:p>
    <w:p w14:paraId="1C39F755" w14:textId="76F9EFAF" w:rsidR="0099364C" w:rsidRPr="00430159" w:rsidRDefault="0099364C" w:rsidP="0089351F">
      <w:pPr>
        <w:pStyle w:val="1Adviceparalargegap"/>
        <w:rPr>
          <w:highlight w:val="green"/>
        </w:rPr>
      </w:pPr>
      <w:r w:rsidRPr="00430159">
        <w:rPr>
          <w:highlight w:val="green"/>
        </w:rPr>
        <w:t xml:space="preserve">In the circumstances I consider that Dr Vasilenko is unlikely to succeed on a winding up petition and has a much better chance of success on </w:t>
      </w:r>
      <w:r w:rsidR="00012E24" w:rsidRPr="00430159">
        <w:rPr>
          <w:highlight w:val="green"/>
        </w:rPr>
        <w:t>an</w:t>
      </w:r>
      <w:r w:rsidRPr="00430159">
        <w:rPr>
          <w:highlight w:val="green"/>
        </w:rPr>
        <w:t xml:space="preserve"> unfair prejudice petition</w:t>
      </w:r>
      <w:r w:rsidR="0089351F" w:rsidRPr="00430159">
        <w:rPr>
          <w:highlight w:val="green"/>
        </w:rPr>
        <w:t>,</w:t>
      </w:r>
      <w:r w:rsidRPr="00430159">
        <w:rPr>
          <w:highlight w:val="green"/>
        </w:rPr>
        <w:t xml:space="preserve"> albeit it would be open to petition for both if his preference is for a winding up and, it is hoped, the threat of a winding up petition </w:t>
      </w:r>
      <w:r w:rsidR="00A77A9A" w:rsidRPr="00430159">
        <w:rPr>
          <w:highlight w:val="green"/>
        </w:rPr>
        <w:t>might</w:t>
      </w:r>
      <w:r w:rsidRPr="00430159">
        <w:rPr>
          <w:highlight w:val="green"/>
        </w:rPr>
        <w:t xml:space="preserve"> bring </w:t>
      </w:r>
      <w:r w:rsidR="0089351F" w:rsidRPr="00430159">
        <w:rPr>
          <w:highlight w:val="green"/>
        </w:rPr>
        <w:t>JMM</w:t>
      </w:r>
      <w:r w:rsidRPr="00430159">
        <w:rPr>
          <w:highlight w:val="green"/>
        </w:rPr>
        <w:t xml:space="preserve"> negotiate a settlement.</w:t>
      </w:r>
    </w:p>
    <w:p w14:paraId="3BF4EAD8" w14:textId="796A7BB6" w:rsidR="0099364C" w:rsidRPr="0089351F" w:rsidRDefault="0099364C" w:rsidP="0089351F">
      <w:pPr>
        <w:pStyle w:val="Adviceitalicheading"/>
      </w:pPr>
      <w:r w:rsidRPr="0089351F">
        <w:t>Claims for failure by Vitabeam to pay remuneration to Dr Vasilenko</w:t>
      </w:r>
    </w:p>
    <w:p w14:paraId="08651870" w14:textId="1A3C36A6" w:rsidR="00910058" w:rsidRDefault="00910058" w:rsidP="005907FF">
      <w:pPr>
        <w:pStyle w:val="1Adviceparasmallgap"/>
      </w:pPr>
      <w:r>
        <w:t xml:space="preserve">My instructions from Dr Vasilenko </w:t>
      </w:r>
      <w:r w:rsidR="00012E24">
        <w:t>are</w:t>
      </w:r>
      <w:r>
        <w:t xml:space="preserve"> that </w:t>
      </w:r>
      <w:r w:rsidR="00D90DAB">
        <w:t xml:space="preserve">there were Commercial Events, as defined in the Shareholders Agreement in 2017, 2018 and 2019 and accordingly </w:t>
      </w:r>
      <w:r>
        <w:t>he</w:t>
      </w:r>
      <w:r w:rsidR="00D90DAB">
        <w:t xml:space="preserve"> was entitled to be paid $105,000 for three years under clause 11.3 of the Shareholders Agreement.  In breach of that clause Vitabeam ceased paying our client his remuneration of $105,000 in October 2019 and has not paid since. </w:t>
      </w:r>
      <w:r>
        <w:t xml:space="preserve"> This potentially could form a claim (</w:t>
      </w:r>
      <w:r w:rsidR="00A77A9A">
        <w:t>which</w:t>
      </w:r>
      <w:r>
        <w:t xml:space="preserve"> would be separate from the </w:t>
      </w:r>
      <w:r w:rsidR="00D51176">
        <w:t>unfair prejudice petition</w:t>
      </w:r>
      <w:r w:rsidR="00597E6A">
        <w:t>)</w:t>
      </w:r>
      <w:r w:rsidR="00D51176">
        <w:t xml:space="preserve">.  </w:t>
      </w:r>
      <w:r w:rsidR="00012E24" w:rsidRPr="00430159">
        <w:rPr>
          <w:color w:val="ED7D31" w:themeColor="accent2"/>
        </w:rPr>
        <w:t>However,</w:t>
      </w:r>
      <w:r w:rsidR="00D51176" w:rsidRPr="00430159">
        <w:rPr>
          <w:color w:val="ED7D31" w:themeColor="accent2"/>
        </w:rPr>
        <w:t xml:space="preserve"> I am uneasy about whether there has </w:t>
      </w:r>
      <w:r w:rsidR="00A77A9A" w:rsidRPr="00430159">
        <w:rPr>
          <w:color w:val="ED7D31" w:themeColor="accent2"/>
        </w:rPr>
        <w:t xml:space="preserve">actually </w:t>
      </w:r>
      <w:r w:rsidR="00D51176" w:rsidRPr="00430159">
        <w:rPr>
          <w:color w:val="ED7D31" w:themeColor="accent2"/>
        </w:rPr>
        <w:t>been the Commercial Event trigger for such payments as Dr Vasilenko is not able to pinpoint what actual Commercial Events took place.</w:t>
      </w:r>
      <w:r w:rsidR="00BB5D30" w:rsidRPr="00430159">
        <w:rPr>
          <w:color w:val="ED7D31" w:themeColor="accent2"/>
        </w:rPr>
        <w:t xml:space="preserve">  </w:t>
      </w:r>
      <w:r w:rsidR="00BB5D30">
        <w:t>In the circumstances I feel unable to advise on the prospects of success of such a claim</w:t>
      </w:r>
      <w:r w:rsidR="00597E6A">
        <w:t xml:space="preserve"> and at present would advise against bringing such a claim.</w:t>
      </w:r>
    </w:p>
    <w:p w14:paraId="13093455" w14:textId="77777777" w:rsidR="00A77A9A" w:rsidRDefault="00A77A9A" w:rsidP="00A77A9A">
      <w:pPr>
        <w:pStyle w:val="1Adviceparasmallgap"/>
        <w:numPr>
          <w:ilvl w:val="0"/>
          <w:numId w:val="0"/>
        </w:numPr>
        <w:ind w:left="454"/>
      </w:pPr>
    </w:p>
    <w:p w14:paraId="3CD45D7B" w14:textId="5FF508EA" w:rsidR="00BB5D30" w:rsidRDefault="00BB5D30" w:rsidP="00597E6A">
      <w:pPr>
        <w:pStyle w:val="Adviceitalicheading"/>
      </w:pPr>
      <w:r>
        <w:lastRenderedPageBreak/>
        <w:t>The position of Dr Vasilenko’s intellectual property rights</w:t>
      </w:r>
    </w:p>
    <w:p w14:paraId="66311F9F" w14:textId="0BF1F947" w:rsidR="00136716" w:rsidRDefault="00BB5D30" w:rsidP="00597E6A">
      <w:pPr>
        <w:pStyle w:val="1Adviceparasmallgap"/>
        <w:spacing w:after="360"/>
      </w:pPr>
      <w:r>
        <w:t xml:space="preserve">It is unfortunate that </w:t>
      </w:r>
      <w:r w:rsidR="00597E6A">
        <w:t>PI</w:t>
      </w:r>
      <w:r>
        <w:t xml:space="preserve"> has been </w:t>
      </w:r>
      <w:r w:rsidR="00597E6A">
        <w:t>dissolved</w:t>
      </w:r>
      <w:r>
        <w:t xml:space="preserve"> since it is Dr Vasilenko’s case that he transferred his patents and other IP rights to that company which subsequently entered into a </w:t>
      </w:r>
      <w:r w:rsidR="00F51E54">
        <w:t>‘perpetual’ licence with Vitabeam.  I confess that I am not an IP expert and certainly not in relation to US patents</w:t>
      </w:r>
      <w:r w:rsidR="00597E6A">
        <w:t xml:space="preserve"> and I should advise that i</w:t>
      </w:r>
      <w:r w:rsidR="00F51E54">
        <w:t xml:space="preserve">f Dr Vasilenko considers that the patents in this case are of substantial value </w:t>
      </w:r>
      <w:r w:rsidR="00B26273">
        <w:t xml:space="preserve">it may well be worth seeking some advice from an expert in US patent law.  </w:t>
      </w:r>
      <w:r w:rsidR="00597E6A">
        <w:t xml:space="preserve"> For the present I advise that t</w:t>
      </w:r>
      <w:r w:rsidR="0020639F">
        <w:t xml:space="preserve">he effect of the winding up of a company is that a liquidator is appointed to get in the assets of the company, pay any debts and then distribute </w:t>
      </w:r>
      <w:r w:rsidR="00A77A9A">
        <w:t xml:space="preserve">the balance </w:t>
      </w:r>
      <w:r w:rsidR="0020639F">
        <w:t xml:space="preserve">to the shareholders.  The patents originally registered by Dr Vasilenko but transferred by him to </w:t>
      </w:r>
      <w:r w:rsidR="00597E6A">
        <w:t>PI</w:t>
      </w:r>
      <w:r w:rsidR="00136716">
        <w:t xml:space="preserve"> and then to Vitabeam are likely to be regarded as part of the assets of Vitabeam and</w:t>
      </w:r>
      <w:r w:rsidR="00597E6A">
        <w:t xml:space="preserve"> </w:t>
      </w:r>
      <w:r w:rsidR="00136716">
        <w:t>are likely to be sold by the liquidator as part of his role.</w:t>
      </w:r>
    </w:p>
    <w:p w14:paraId="52B90439" w14:textId="1C705A48" w:rsidR="00B26273" w:rsidRDefault="00136716" w:rsidP="00597E6A">
      <w:pPr>
        <w:pStyle w:val="1Adviceparasmallgap"/>
        <w:spacing w:after="360"/>
      </w:pPr>
      <w:r>
        <w:t>Applying basic legal principles, one potential argument that the IP doe</w:t>
      </w:r>
      <w:r w:rsidR="00F70F26">
        <w:t>s</w:t>
      </w:r>
      <w:r>
        <w:t xml:space="preserve"> not form part of the company assets on dissolution </w:t>
      </w:r>
      <w:r w:rsidR="0067546B">
        <w:t xml:space="preserve">would be based </w:t>
      </w:r>
      <w:r w:rsidR="00A77A9A">
        <w:t xml:space="preserve">on </w:t>
      </w:r>
      <w:r w:rsidR="00B26273">
        <w:t>the fact that Vitabeam’s interest in the IP was by way of a licence (as opposed to an absolute transfer of the interests)</w:t>
      </w:r>
      <w:r w:rsidR="0067546B">
        <w:t xml:space="preserve">.  Whilst </w:t>
      </w:r>
      <w:r w:rsidR="00F70F26">
        <w:t>the licence</w:t>
      </w:r>
      <w:r w:rsidR="0067546B">
        <w:t xml:space="preserve"> is said to be perpetual, the fact that it is a licence rather than a transfer might suggest </w:t>
      </w:r>
      <w:r w:rsidR="00B26273">
        <w:t>that the licensor (</w:t>
      </w:r>
      <w:r w:rsidR="00F70F26">
        <w:t>PI</w:t>
      </w:r>
      <w:r w:rsidR="00B26273">
        <w:t xml:space="preserve">) held some form of reversionary interest so there may have been an argument that the interests would revert to </w:t>
      </w:r>
      <w:r w:rsidR="00F70F26">
        <w:t>PI</w:t>
      </w:r>
      <w:r w:rsidR="00B26273">
        <w:t xml:space="preserve"> on the dissolution of </w:t>
      </w:r>
      <w:r w:rsidR="0020639F">
        <w:t xml:space="preserve">Vitabeam.  The trouble is that </w:t>
      </w:r>
      <w:r w:rsidR="00F70F26">
        <w:t>PI</w:t>
      </w:r>
      <w:r w:rsidR="0020639F">
        <w:t xml:space="preserve"> has been dissolved so that destination for IP rights is unavailable.  </w:t>
      </w:r>
      <w:r w:rsidR="00F70F26" w:rsidRPr="00430159">
        <w:rPr>
          <w:highlight w:val="red"/>
        </w:rPr>
        <w:t>My preliminary view is that</w:t>
      </w:r>
      <w:r w:rsidR="0067546B" w:rsidRPr="00430159">
        <w:rPr>
          <w:highlight w:val="red"/>
        </w:rPr>
        <w:t xml:space="preserve"> it would be a remove too far to have any realistic chance of success in arguing they revert to Dr Vasilenko since on his own case he transferred (rather than licenced) the IP to </w:t>
      </w:r>
      <w:r w:rsidR="00F70F26" w:rsidRPr="00430159">
        <w:rPr>
          <w:highlight w:val="red"/>
        </w:rPr>
        <w:t>PI</w:t>
      </w:r>
      <w:r w:rsidR="0067546B" w:rsidRPr="00430159">
        <w:rPr>
          <w:highlight w:val="red"/>
        </w:rPr>
        <w:t xml:space="preserve"> suggesting his interest lapsed at that time</w:t>
      </w:r>
      <w:r w:rsidR="00F70F26" w:rsidRPr="00430159">
        <w:rPr>
          <w:highlight w:val="red"/>
        </w:rPr>
        <w:t>.</w:t>
      </w:r>
      <w:r w:rsidR="00F70F26">
        <w:t xml:space="preserve">  However, as inventor and as the person by whom the patent was registered, he may have a claim in US law to recover the patent but, as I say that would take the advice of an IP specialist.</w:t>
      </w:r>
    </w:p>
    <w:p w14:paraId="1819BFFD" w14:textId="06C1E912" w:rsidR="0067546B" w:rsidRDefault="0067546B" w:rsidP="00AB31C4">
      <w:pPr>
        <w:pStyle w:val="1Adviceparasmallgap"/>
        <w:spacing w:after="360"/>
      </w:pPr>
      <w:r>
        <w:lastRenderedPageBreak/>
        <w:t>According, and subject to any contrary advice from an IP specialist</w:t>
      </w:r>
      <w:r w:rsidR="00F70F26">
        <w:t>,</w:t>
      </w:r>
      <w:r>
        <w:t xml:space="preserve"> I consider that the likely outcome of a winding up would be the IP would be sold to the highest bidder – of course Dr Vasilenko could bid (but so could </w:t>
      </w:r>
      <w:r w:rsidR="00F70F26">
        <w:t>JMM</w:t>
      </w:r>
      <w:r>
        <w:t>).</w:t>
      </w:r>
    </w:p>
    <w:p w14:paraId="63822654" w14:textId="776EAB82" w:rsidR="005011D8" w:rsidRDefault="005011D8" w:rsidP="00B47637">
      <w:pPr>
        <w:pStyle w:val="AdviceBoldheading"/>
      </w:pPr>
      <w:r>
        <w:t>Security for costs</w:t>
      </w:r>
    </w:p>
    <w:p w14:paraId="6BB69422" w14:textId="5684C675" w:rsidR="005011D8" w:rsidRDefault="005011D8" w:rsidP="005907FF">
      <w:pPr>
        <w:pStyle w:val="1Adviceparasmallgap"/>
      </w:pPr>
      <w:r>
        <w:t xml:space="preserve">As was mentioned in conference, there is a real risk that if any proceedings are issued by Dr Vasilenko against Vitabeam of </w:t>
      </w:r>
      <w:r w:rsidR="00F70F26">
        <w:t xml:space="preserve">JMM </w:t>
      </w:r>
      <w:r>
        <w:t xml:space="preserve">they will seek security for costs.  They would satisfy the conditions in CPR Part 25.13 (a) </w:t>
      </w:r>
      <w:r w:rsidR="00F70F26">
        <w:t xml:space="preserve">since Dr Vasilenko is </w:t>
      </w:r>
      <w:r w:rsidR="00CB56E1">
        <w:t xml:space="preserve">resident outside the jurisdiction </w:t>
      </w:r>
      <w:r>
        <w:t xml:space="preserve">and so the discretion would arise.  </w:t>
      </w:r>
      <w:r w:rsidR="00012E24">
        <w:t>In</w:t>
      </w:r>
      <w:r>
        <w:t xml:space="preserve"> my view it is more likely than not that a court would exercise its discretion and grant an order whereby a sufficient sum of money would have to be secured to cover </w:t>
      </w:r>
      <w:r w:rsidR="00CB56E1">
        <w:t>Vitabeam and/or JMM’s</w:t>
      </w:r>
      <w:r>
        <w:t xml:space="preserve"> costs in the event that a costs order was made against Dr Vasilenko.  Accordingly, Dr Vasilenko will need to consider how is going to be able to provide such security prior to going to the expense of issuing proceedings.</w:t>
      </w:r>
    </w:p>
    <w:p w14:paraId="60DC3055" w14:textId="6FC64A62" w:rsidR="0067546B" w:rsidRPr="005011D8" w:rsidRDefault="0067546B" w:rsidP="005011D8">
      <w:pPr>
        <w:pStyle w:val="AdviceBoldheading"/>
      </w:pPr>
      <w:r w:rsidRPr="005011D8">
        <w:t>Conclusion</w:t>
      </w:r>
    </w:p>
    <w:p w14:paraId="4B97F002" w14:textId="77777777" w:rsidR="00CB56E1" w:rsidRDefault="0067546B" w:rsidP="005907FF">
      <w:pPr>
        <w:pStyle w:val="1Adviceparasmallgap"/>
      </w:pPr>
      <w:r>
        <w:t>This is an extremely unfortunate case for a number of reasons:</w:t>
      </w:r>
    </w:p>
    <w:p w14:paraId="079E0B2A" w14:textId="34346339" w:rsidR="00CB56E1" w:rsidRDefault="0067546B" w:rsidP="00CB56E1">
      <w:pPr>
        <w:pStyle w:val="1Adviceparasmallgap"/>
        <w:numPr>
          <w:ilvl w:val="1"/>
          <w:numId w:val="1"/>
        </w:numPr>
      </w:pPr>
      <w:r>
        <w:t xml:space="preserve">the fact that </w:t>
      </w:r>
      <w:r w:rsidR="00CB56E1">
        <w:t>PI</w:t>
      </w:r>
      <w:r>
        <w:t xml:space="preserve"> was dissolved without ensuring that </w:t>
      </w:r>
      <w:r w:rsidR="0080110B">
        <w:t>the consideration i</w:t>
      </w:r>
      <w:r w:rsidR="00A77A9A">
        <w:t xml:space="preserve">t </w:t>
      </w:r>
      <w:r w:rsidR="0080110B">
        <w:t>was due under the Licence agreement was made (i.e. it was granted a 51% shareholding in Vitabeam) and that its rights under the Shareholders Agreement were honoured</w:t>
      </w:r>
      <w:r w:rsidR="00CB56E1">
        <w:t>;</w:t>
      </w:r>
    </w:p>
    <w:p w14:paraId="5FDE249A" w14:textId="27542B77" w:rsidR="00CB56E1" w:rsidRDefault="0080110B" w:rsidP="00CB56E1">
      <w:pPr>
        <w:pStyle w:val="1Adviceparasmallgap"/>
        <w:numPr>
          <w:ilvl w:val="1"/>
          <w:numId w:val="1"/>
        </w:numPr>
      </w:pPr>
      <w:r>
        <w:t xml:space="preserve">the fact that Dr Vasilenko did not arrange for any </w:t>
      </w:r>
      <w:r w:rsidR="005011D8">
        <w:t xml:space="preserve">retained interest in the </w:t>
      </w:r>
      <w:r w:rsidR="00A77A9A">
        <w:t>patents</w:t>
      </w:r>
      <w:r w:rsidR="005011D8">
        <w:t xml:space="preserve"> that </w:t>
      </w:r>
      <w:r w:rsidR="00CB56E1">
        <w:t>PI</w:t>
      </w:r>
      <w:r w:rsidR="005011D8">
        <w:t xml:space="preserve"> had following the Licence Agreement </w:t>
      </w:r>
      <w:r w:rsidR="00B47637">
        <w:t xml:space="preserve">to be transferred to him before </w:t>
      </w:r>
      <w:r w:rsidR="00CB56E1">
        <w:t>PI</w:t>
      </w:r>
      <w:r w:rsidR="00B47637">
        <w:t xml:space="preserve"> was dissolved,</w:t>
      </w:r>
    </w:p>
    <w:p w14:paraId="2520849E" w14:textId="625CB3F4" w:rsidR="0067546B" w:rsidRDefault="00B47637" w:rsidP="00AB31C4">
      <w:pPr>
        <w:pStyle w:val="1Adviceparasmallgap"/>
        <w:numPr>
          <w:ilvl w:val="1"/>
          <w:numId w:val="1"/>
        </w:numPr>
        <w:spacing w:after="360"/>
        <w:ind w:left="908" w:hanging="454"/>
      </w:pPr>
      <w:r>
        <w:t xml:space="preserve">the fact that </w:t>
      </w:r>
      <w:r w:rsidR="00CB56E1">
        <w:t>JMM</w:t>
      </w:r>
      <w:r w:rsidR="0080110B">
        <w:t xml:space="preserve"> seems to have ridden roughshod over the rights of the members of the company by systematically </w:t>
      </w:r>
      <w:r w:rsidR="00CB56E1">
        <w:t xml:space="preserve">allotting </w:t>
      </w:r>
      <w:r w:rsidR="0080110B">
        <w:t xml:space="preserve">more and more shares to people other than </w:t>
      </w:r>
      <w:r w:rsidR="0080110B">
        <w:lastRenderedPageBreak/>
        <w:t xml:space="preserve">Dr Vasilenko and </w:t>
      </w:r>
      <w:r w:rsidR="00A77A9A">
        <w:t>Allied/</w:t>
      </w:r>
      <w:r w:rsidR="0080110B">
        <w:t xml:space="preserve">Pantheon, the fact that </w:t>
      </w:r>
      <w:r w:rsidR="00CB56E1">
        <w:t>JMM</w:t>
      </w:r>
      <w:r w:rsidR="0080110B">
        <w:t xml:space="preserve"> has seen fit to ignore correspondence from Dr Vasilenko’s previous solicitors</w:t>
      </w:r>
      <w:r>
        <w:t>.</w:t>
      </w:r>
    </w:p>
    <w:p w14:paraId="579421CA" w14:textId="5FBEB6AA" w:rsidR="00B47637" w:rsidRDefault="00B47637" w:rsidP="00AB31C4">
      <w:pPr>
        <w:pStyle w:val="1Adviceparasmallgap"/>
        <w:spacing w:after="360"/>
      </w:pPr>
      <w:r>
        <w:t>In the circumstances, the options available to Dr Vasilenko</w:t>
      </w:r>
      <w:r w:rsidR="00AB31C4">
        <w:t xml:space="preserve"> are rather limited</w:t>
      </w:r>
      <w:r>
        <w:t xml:space="preserve">.  For the reasons given above </w:t>
      </w:r>
      <w:r w:rsidRPr="00430159">
        <w:rPr>
          <w:highlight w:val="green"/>
        </w:rPr>
        <w:t>I remain of the view that his best option is to issue a petition for unfair prejudice.</w:t>
      </w:r>
      <w:bookmarkStart w:id="0" w:name="_GoBack"/>
      <w:bookmarkEnd w:id="0"/>
      <w:r>
        <w:t xml:space="preserve">  However, given the length of time since the previous letter of claim, I would advise that a further letter </w:t>
      </w:r>
      <w:r w:rsidR="00A77A9A">
        <w:t xml:space="preserve">be sent, </w:t>
      </w:r>
      <w:r>
        <w:t xml:space="preserve">warning Vitabeam and </w:t>
      </w:r>
      <w:r w:rsidR="00AB31C4">
        <w:t>JMM</w:t>
      </w:r>
      <w:r>
        <w:t xml:space="preserve"> of proposed proceedings.  In my view, notwithstanding my rather pessimistic view of </w:t>
      </w:r>
      <w:r w:rsidR="00AB31C4">
        <w:t>its</w:t>
      </w:r>
      <w:r>
        <w:t xml:space="preserve"> chances of success</w:t>
      </w:r>
      <w:r w:rsidR="008850EF">
        <w:t xml:space="preserve">, I consider it might be worth warning in the letter that </w:t>
      </w:r>
      <w:r w:rsidR="00C82700">
        <w:t>Dr Vasilenko is considering issue a petition to wind up the company on the just and equitable ground, as well as the causes of action referred to in the previous letter of claim.</w:t>
      </w:r>
    </w:p>
    <w:p w14:paraId="2DE2090F" w14:textId="19BF46C0" w:rsidR="00AB31C4" w:rsidRDefault="00AB31C4" w:rsidP="005907FF">
      <w:pPr>
        <w:pStyle w:val="1Adviceparasmallgap"/>
      </w:pPr>
      <w:r>
        <w:t>Ideally JMM would come to the table and some negotiated settlement could be achieved; in my view that would be the best result for Dr Vasilenko rather than taking the risk of litigation but it does rely on JMM’s cooperation.</w:t>
      </w:r>
    </w:p>
    <w:p w14:paraId="1606738B" w14:textId="18DE2FF5" w:rsidR="00867A45" w:rsidRDefault="00C82700" w:rsidP="00183E9E">
      <w:pPr>
        <w:widowControl w:val="0"/>
        <w:spacing w:after="360" w:line="480" w:lineRule="auto"/>
        <w:ind w:left="454" w:firstLine="0"/>
      </w:pPr>
      <w:r>
        <w:t xml:space="preserve">20 September </w:t>
      </w:r>
      <w:r w:rsidR="00867A45">
        <w:t>202</w:t>
      </w:r>
      <w:r w:rsidR="00DE2335">
        <w:t>2</w:t>
      </w:r>
    </w:p>
    <w:p w14:paraId="108B5AAA" w14:textId="77777777" w:rsidR="00183E9E" w:rsidRPr="00771EBC" w:rsidRDefault="00183E9E" w:rsidP="00183E9E">
      <w:pPr>
        <w:spacing w:line="240" w:lineRule="auto"/>
        <w:jc w:val="right"/>
        <w:rPr>
          <w:szCs w:val="24"/>
        </w:rPr>
      </w:pPr>
      <w:r w:rsidRPr="00771EBC">
        <w:rPr>
          <w:szCs w:val="24"/>
        </w:rPr>
        <w:t>DAVID BROUNGER</w:t>
      </w:r>
    </w:p>
    <w:p w14:paraId="4D21E3F4" w14:textId="77777777" w:rsidR="00183E9E" w:rsidRPr="00771EBC" w:rsidRDefault="00430159" w:rsidP="00183E9E">
      <w:pPr>
        <w:spacing w:line="240" w:lineRule="auto"/>
        <w:jc w:val="right"/>
        <w:rPr>
          <w:sz w:val="22"/>
          <w:szCs w:val="22"/>
        </w:rPr>
      </w:pPr>
      <w:hyperlink r:id="rId7" w:history="1">
        <w:r w:rsidR="00183E9E" w:rsidRPr="00771EBC">
          <w:rPr>
            <w:rStyle w:val="Hyperlink"/>
            <w:sz w:val="22"/>
            <w:szCs w:val="22"/>
          </w:rPr>
          <w:t>david.brounger@fieldcourt.co.uk</w:t>
        </w:r>
      </w:hyperlink>
    </w:p>
    <w:p w14:paraId="2832EA53" w14:textId="77777777" w:rsidR="00183E9E" w:rsidRPr="00771EBC" w:rsidRDefault="00183E9E" w:rsidP="00183E9E">
      <w:pPr>
        <w:spacing w:line="240" w:lineRule="auto"/>
        <w:rPr>
          <w:sz w:val="22"/>
          <w:szCs w:val="22"/>
        </w:rPr>
      </w:pPr>
    </w:p>
    <w:p w14:paraId="44542E18" w14:textId="77777777" w:rsidR="00183E9E" w:rsidRPr="00771EBC" w:rsidRDefault="00183E9E" w:rsidP="00183E9E">
      <w:pPr>
        <w:spacing w:line="240" w:lineRule="auto"/>
        <w:jc w:val="right"/>
        <w:rPr>
          <w:sz w:val="22"/>
          <w:szCs w:val="22"/>
        </w:rPr>
      </w:pPr>
      <w:r w:rsidRPr="00771EBC">
        <w:rPr>
          <w:sz w:val="22"/>
          <w:szCs w:val="22"/>
        </w:rPr>
        <w:t>Field Court Chambers</w:t>
      </w:r>
    </w:p>
    <w:p w14:paraId="6C79348B" w14:textId="77777777" w:rsidR="00183E9E" w:rsidRPr="00771EBC" w:rsidRDefault="00183E9E" w:rsidP="00183E9E">
      <w:pPr>
        <w:spacing w:line="240" w:lineRule="auto"/>
        <w:jc w:val="right"/>
        <w:rPr>
          <w:sz w:val="22"/>
          <w:szCs w:val="22"/>
        </w:rPr>
      </w:pPr>
      <w:r w:rsidRPr="00771EBC">
        <w:rPr>
          <w:sz w:val="22"/>
          <w:szCs w:val="22"/>
        </w:rPr>
        <w:t>5 Field Court, Gray’s Inn,</w:t>
      </w:r>
    </w:p>
    <w:p w14:paraId="00E1B2EF" w14:textId="77777777" w:rsidR="00183E9E" w:rsidRPr="00771EBC" w:rsidRDefault="00183E9E" w:rsidP="00183E9E">
      <w:pPr>
        <w:spacing w:line="240" w:lineRule="auto"/>
        <w:jc w:val="right"/>
        <w:rPr>
          <w:sz w:val="22"/>
          <w:szCs w:val="22"/>
        </w:rPr>
      </w:pPr>
      <w:r w:rsidRPr="00771EBC">
        <w:rPr>
          <w:sz w:val="22"/>
          <w:szCs w:val="22"/>
        </w:rPr>
        <w:t>London WC1R 5EF</w:t>
      </w:r>
    </w:p>
    <w:p w14:paraId="6D9A26CE" w14:textId="77777777" w:rsidR="00183E9E" w:rsidRPr="00771EBC" w:rsidRDefault="00183E9E" w:rsidP="00183E9E">
      <w:pPr>
        <w:spacing w:line="240" w:lineRule="auto"/>
        <w:rPr>
          <w:sz w:val="22"/>
          <w:szCs w:val="22"/>
        </w:rPr>
      </w:pPr>
    </w:p>
    <w:p w14:paraId="4DCF9E94" w14:textId="77777777" w:rsidR="00183E9E" w:rsidRPr="002C6E1E" w:rsidRDefault="00183E9E" w:rsidP="00183E9E">
      <w:pPr>
        <w:spacing w:line="240" w:lineRule="auto"/>
        <w:jc w:val="right"/>
        <w:rPr>
          <w:sz w:val="22"/>
          <w:szCs w:val="22"/>
        </w:rPr>
      </w:pPr>
      <w:r w:rsidRPr="00771EBC">
        <w:rPr>
          <w:sz w:val="22"/>
          <w:szCs w:val="22"/>
        </w:rPr>
        <w:t>Tel. 020 7405 6114</w:t>
      </w:r>
    </w:p>
    <w:p w14:paraId="31036ECE" w14:textId="77777777" w:rsidR="005A6779" w:rsidRDefault="005A6779" w:rsidP="00A62D0D">
      <w:pPr>
        <w:widowControl w:val="0"/>
        <w:spacing w:line="480" w:lineRule="auto"/>
      </w:pPr>
    </w:p>
    <w:p w14:paraId="6BBEA2E9" w14:textId="77777777" w:rsidR="009B6641" w:rsidRDefault="009B6641" w:rsidP="00A62D0D">
      <w:pPr>
        <w:widowControl w:val="0"/>
        <w:spacing w:line="480" w:lineRule="auto"/>
      </w:pPr>
    </w:p>
    <w:p w14:paraId="0B7CA8D4" w14:textId="77777777" w:rsidR="009B6641" w:rsidRDefault="009B6641" w:rsidP="00A62D0D">
      <w:pPr>
        <w:widowControl w:val="0"/>
        <w:spacing w:line="480" w:lineRule="auto"/>
      </w:pPr>
    </w:p>
    <w:p w14:paraId="48657AF2" w14:textId="77777777" w:rsidR="007848F2" w:rsidRDefault="007848F2" w:rsidP="00A62D0D">
      <w:pPr>
        <w:widowControl w:val="0"/>
        <w:spacing w:line="480" w:lineRule="auto"/>
      </w:pPr>
    </w:p>
    <w:p w14:paraId="782A7D03" w14:textId="77777777" w:rsidR="005754AF" w:rsidRDefault="005754AF" w:rsidP="00C879EB">
      <w:pPr>
        <w:widowControl w:val="0"/>
        <w:spacing w:line="480" w:lineRule="atLeast"/>
      </w:pPr>
    </w:p>
    <w:sectPr w:rsidR="005754AF" w:rsidSect="00D36331">
      <w:headerReference w:type="default" r:id="rId8"/>
      <w:footerReference w:type="default" r:id="rId9"/>
      <w:pgSz w:w="11909" w:h="16834" w:code="9"/>
      <w:pgMar w:top="1440" w:right="1440" w:bottom="1440" w:left="1440" w:header="288" w:footer="28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576E5C" w14:textId="77777777" w:rsidR="0094636D" w:rsidRDefault="0094636D">
      <w:r>
        <w:separator/>
      </w:r>
    </w:p>
  </w:endnote>
  <w:endnote w:type="continuationSeparator" w:id="0">
    <w:p w14:paraId="2F57B162" w14:textId="77777777" w:rsidR="0094636D" w:rsidRDefault="00946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B82E0" w14:textId="77777777" w:rsidR="00D36331" w:rsidRPr="00D36331" w:rsidRDefault="00D36331" w:rsidP="00D36331">
    <w:pPr>
      <w:pStyle w:val="Footer"/>
      <w:jc w:val="right"/>
      <w:rPr>
        <w:color w:val="000000"/>
        <w:sz w:val="20"/>
      </w:rPr>
    </w:pPr>
    <w:r w:rsidRPr="00D36331">
      <w:rPr>
        <w:color w:val="000000"/>
        <w:sz w:val="20"/>
      </w:rPr>
      <w:t xml:space="preserve">Page </w:t>
    </w:r>
    <w:r w:rsidRPr="00D36331">
      <w:rPr>
        <w:color w:val="000000"/>
        <w:sz w:val="20"/>
      </w:rPr>
      <w:fldChar w:fldCharType="begin"/>
    </w:r>
    <w:r w:rsidRPr="00D36331">
      <w:rPr>
        <w:color w:val="000000"/>
        <w:sz w:val="20"/>
      </w:rPr>
      <w:instrText xml:space="preserve"> PAGE  \* Arabic  \* MERGEFORMAT </w:instrText>
    </w:r>
    <w:r w:rsidRPr="00D36331">
      <w:rPr>
        <w:color w:val="000000"/>
        <w:sz w:val="20"/>
      </w:rPr>
      <w:fldChar w:fldCharType="separate"/>
    </w:r>
    <w:r w:rsidRPr="00D36331">
      <w:rPr>
        <w:noProof/>
        <w:color w:val="000000"/>
        <w:sz w:val="20"/>
      </w:rPr>
      <w:t>2</w:t>
    </w:r>
    <w:r w:rsidRPr="00D36331">
      <w:rPr>
        <w:color w:val="000000"/>
        <w:sz w:val="20"/>
      </w:rPr>
      <w:fldChar w:fldCharType="end"/>
    </w:r>
    <w:r w:rsidRPr="00D36331">
      <w:rPr>
        <w:color w:val="000000"/>
        <w:sz w:val="20"/>
      </w:rPr>
      <w:t xml:space="preserve"> of </w:t>
    </w:r>
    <w:r w:rsidRPr="00D36331">
      <w:rPr>
        <w:color w:val="000000"/>
        <w:sz w:val="20"/>
      </w:rPr>
      <w:fldChar w:fldCharType="begin"/>
    </w:r>
    <w:r w:rsidRPr="00D36331">
      <w:rPr>
        <w:color w:val="000000"/>
        <w:sz w:val="20"/>
      </w:rPr>
      <w:instrText xml:space="preserve"> NUMPAGES  \* Arabic  \* MERGEFORMAT </w:instrText>
    </w:r>
    <w:r w:rsidRPr="00D36331">
      <w:rPr>
        <w:color w:val="000000"/>
        <w:sz w:val="20"/>
      </w:rPr>
      <w:fldChar w:fldCharType="separate"/>
    </w:r>
    <w:r w:rsidRPr="00D36331">
      <w:rPr>
        <w:noProof/>
        <w:color w:val="000000"/>
        <w:sz w:val="20"/>
      </w:rPr>
      <w:t>2</w:t>
    </w:r>
    <w:r w:rsidRPr="00D36331">
      <w:rPr>
        <w:color w:val="000000"/>
        <w:sz w:val="20"/>
      </w:rPr>
      <w:fldChar w:fldCharType="end"/>
    </w:r>
  </w:p>
  <w:p w14:paraId="3048BA32" w14:textId="77777777" w:rsidR="000D200C" w:rsidRDefault="000D2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EEE98C" w14:textId="77777777" w:rsidR="0094636D" w:rsidRDefault="0094636D">
      <w:r>
        <w:separator/>
      </w:r>
    </w:p>
  </w:footnote>
  <w:footnote w:type="continuationSeparator" w:id="0">
    <w:p w14:paraId="4489DBF8" w14:textId="77777777" w:rsidR="0094636D" w:rsidRDefault="00946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48AFC" w14:textId="77777777" w:rsidR="00D068F5" w:rsidRDefault="00D068F5">
    <w:pPr>
      <w:widowControl w:val="0"/>
      <w:tabs>
        <w:tab w:val="center" w:pos="4154"/>
        <w:tab w:val="right" w:pos="830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7C433C"/>
    <w:multiLevelType w:val="multilevel"/>
    <w:tmpl w:val="12F24A56"/>
    <w:lvl w:ilvl="0">
      <w:start w:val="1"/>
      <w:numFmt w:val="decimal"/>
      <w:lvlText w:val="%1."/>
      <w:lvlJc w:val="left"/>
      <w:pPr>
        <w:ind w:left="454" w:hanging="454"/>
      </w:pPr>
      <w:rPr>
        <w:rFonts w:hint="default"/>
        <w:sz w:val="24"/>
      </w:rPr>
    </w:lvl>
    <w:lvl w:ilvl="1">
      <w:start w:val="1"/>
      <w:numFmt w:val="lowerLetter"/>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1" w15:restartNumberingAfterBreak="0">
    <w:nsid w:val="65B06B25"/>
    <w:multiLevelType w:val="multilevel"/>
    <w:tmpl w:val="B336B4FA"/>
    <w:lvl w:ilvl="0">
      <w:start w:val="1"/>
      <w:numFmt w:val="decimal"/>
      <w:pStyle w:val="1Adviceparasmallgap"/>
      <w:lvlText w:val="%1."/>
      <w:lvlJc w:val="left"/>
      <w:pPr>
        <w:tabs>
          <w:tab w:val="num" w:pos="454"/>
        </w:tabs>
        <w:ind w:left="454" w:hanging="454"/>
      </w:pPr>
      <w:rPr>
        <w:rFonts w:hint="default"/>
        <w:sz w:val="24"/>
        <w:szCs w:val="24"/>
      </w:rPr>
    </w:lvl>
    <w:lvl w:ilvl="1">
      <w:start w:val="1"/>
      <w:numFmt w:val="lowerLetter"/>
      <w:lvlText w:val="(%2)"/>
      <w:lvlJc w:val="left"/>
      <w:pPr>
        <w:tabs>
          <w:tab w:val="num" w:pos="907"/>
        </w:tabs>
        <w:ind w:left="907" w:hanging="453"/>
      </w:pPr>
      <w:rPr>
        <w:rFonts w:hint="default"/>
      </w:rPr>
    </w:lvl>
    <w:lvl w:ilvl="2">
      <w:start w:val="1"/>
      <w:numFmt w:val="lowerRoman"/>
      <w:pStyle w:val="adviceparalargegap"/>
      <w:lvlText w:val="(%3)"/>
      <w:lvlJc w:val="left"/>
      <w:pPr>
        <w:tabs>
          <w:tab w:val="num" w:pos="1361"/>
        </w:tabs>
        <w:ind w:left="1361" w:hanging="454"/>
      </w:pPr>
      <w:rPr>
        <w:rFonts w:hint="default"/>
      </w:rPr>
    </w:lvl>
    <w:lvl w:ilvl="3">
      <w:start w:val="1"/>
      <w:numFmt w:val="decimal"/>
      <w:lvlText w:val="(%4)"/>
      <w:lvlJc w:val="left"/>
      <w:pPr>
        <w:tabs>
          <w:tab w:val="num" w:pos="1814"/>
        </w:tabs>
        <w:ind w:left="1814" w:hanging="453"/>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lvlOverride w:ilvl="0">
      <w:lvl w:ilvl="0">
        <w:start w:val="1"/>
        <w:numFmt w:val="decimal"/>
        <w:pStyle w:val="1Adviceparasmallgap"/>
        <w:lvlText w:val="%1."/>
        <w:lvlJc w:val="left"/>
        <w:pPr>
          <w:tabs>
            <w:tab w:val="num" w:pos="454"/>
          </w:tabs>
          <w:ind w:left="454" w:hanging="454"/>
        </w:pPr>
        <w:rPr>
          <w:rFonts w:hint="default"/>
        </w:rPr>
      </w:lvl>
    </w:lvlOverride>
    <w:lvlOverride w:ilvl="1">
      <w:lvl w:ilvl="1">
        <w:start w:val="1"/>
        <w:numFmt w:val="lowerLetter"/>
        <w:lvlText w:val="(%2)"/>
        <w:lvlJc w:val="left"/>
        <w:pPr>
          <w:tabs>
            <w:tab w:val="num" w:pos="907"/>
          </w:tabs>
          <w:ind w:left="907" w:hanging="453"/>
        </w:pPr>
        <w:rPr>
          <w:rFonts w:hint="default"/>
        </w:rPr>
      </w:lvl>
    </w:lvlOverride>
    <w:lvlOverride w:ilvl="2">
      <w:lvl w:ilvl="2">
        <w:start w:val="1"/>
        <w:numFmt w:val="lowerRoman"/>
        <w:pStyle w:val="adviceparalargegap"/>
        <w:lvlText w:val="(%3)"/>
        <w:lvlJc w:val="left"/>
        <w:pPr>
          <w:ind w:left="1474" w:hanging="567"/>
        </w:pPr>
        <w:rPr>
          <w:rFonts w:hint="default"/>
        </w:rPr>
      </w:lvl>
    </w:lvlOverride>
    <w:lvlOverride w:ilvl="3">
      <w:lvl w:ilvl="3">
        <w:start w:val="1"/>
        <w:numFmt w:val="decimal"/>
        <w:lvlText w:val="(%4)"/>
        <w:lvlJc w:val="left"/>
        <w:pPr>
          <w:tabs>
            <w:tab w:val="num" w:pos="1814"/>
          </w:tabs>
          <w:ind w:left="1814" w:hanging="453"/>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abstractNumId w:val="1"/>
    <w:lvlOverride w:ilvl="0">
      <w:lvl w:ilvl="0">
        <w:start w:val="1"/>
        <w:numFmt w:val="decimal"/>
        <w:pStyle w:val="1Adviceparasmallgap"/>
        <w:lvlText w:val="%1."/>
        <w:lvlJc w:val="left"/>
        <w:pPr>
          <w:tabs>
            <w:tab w:val="num" w:pos="454"/>
          </w:tabs>
          <w:ind w:left="454" w:hanging="454"/>
        </w:pPr>
        <w:rPr>
          <w:rFonts w:hint="default"/>
        </w:rPr>
      </w:lvl>
    </w:lvlOverride>
    <w:lvlOverride w:ilvl="1">
      <w:lvl w:ilvl="1">
        <w:start w:val="1"/>
        <w:numFmt w:val="lowerLetter"/>
        <w:lvlText w:val="(%2)"/>
        <w:lvlJc w:val="left"/>
        <w:pPr>
          <w:tabs>
            <w:tab w:val="num" w:pos="907"/>
          </w:tabs>
          <w:ind w:left="907" w:hanging="453"/>
        </w:pPr>
        <w:rPr>
          <w:rFonts w:hint="default"/>
        </w:rPr>
      </w:lvl>
    </w:lvlOverride>
    <w:lvlOverride w:ilvl="2">
      <w:lvl w:ilvl="2">
        <w:start w:val="1"/>
        <w:numFmt w:val="lowerRoman"/>
        <w:pStyle w:val="adviceparalargegap"/>
        <w:lvlText w:val="(%3)"/>
        <w:lvlJc w:val="left"/>
        <w:pPr>
          <w:tabs>
            <w:tab w:val="num" w:pos="1474"/>
          </w:tabs>
          <w:ind w:left="1474" w:hanging="567"/>
        </w:pPr>
        <w:rPr>
          <w:rFonts w:hint="default"/>
        </w:rPr>
      </w:lvl>
    </w:lvlOverride>
    <w:lvlOverride w:ilvl="3">
      <w:lvl w:ilvl="3">
        <w:start w:val="1"/>
        <w:numFmt w:val="decimal"/>
        <w:lvlText w:val="(%4)"/>
        <w:lvlJc w:val="left"/>
        <w:pPr>
          <w:tabs>
            <w:tab w:val="num" w:pos="1814"/>
          </w:tabs>
          <w:ind w:left="1814" w:hanging="453"/>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oNotHyphenateCaps/>
  <w:drawingGridHorizontalSpacing w:val="120"/>
  <w:drawingGridVerticalSpacing w:val="163"/>
  <w:displayHorizontalDrawingGridEvery w:val="0"/>
  <w:displayVerticalDrawingGridEvery w:val="2"/>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E16"/>
    <w:rsid w:val="000007AE"/>
    <w:rsid w:val="00003810"/>
    <w:rsid w:val="00012E24"/>
    <w:rsid w:val="00017EF4"/>
    <w:rsid w:val="00024D42"/>
    <w:rsid w:val="00036CD6"/>
    <w:rsid w:val="000468EB"/>
    <w:rsid w:val="000574A0"/>
    <w:rsid w:val="00060EC6"/>
    <w:rsid w:val="00067C00"/>
    <w:rsid w:val="0008248A"/>
    <w:rsid w:val="000905C1"/>
    <w:rsid w:val="00092501"/>
    <w:rsid w:val="0009467F"/>
    <w:rsid w:val="00097BE7"/>
    <w:rsid w:val="000A09A6"/>
    <w:rsid w:val="000A45CB"/>
    <w:rsid w:val="000A657A"/>
    <w:rsid w:val="000B48D8"/>
    <w:rsid w:val="000C4395"/>
    <w:rsid w:val="000D12FA"/>
    <w:rsid w:val="000D200C"/>
    <w:rsid w:val="000D219F"/>
    <w:rsid w:val="000D6C68"/>
    <w:rsid w:val="000D774D"/>
    <w:rsid w:val="000E054B"/>
    <w:rsid w:val="000E2106"/>
    <w:rsid w:val="000E5B02"/>
    <w:rsid w:val="000F264F"/>
    <w:rsid w:val="000F300F"/>
    <w:rsid w:val="001002FA"/>
    <w:rsid w:val="0010299E"/>
    <w:rsid w:val="00113056"/>
    <w:rsid w:val="00117644"/>
    <w:rsid w:val="00117C36"/>
    <w:rsid w:val="00122A68"/>
    <w:rsid w:val="001230E6"/>
    <w:rsid w:val="001323B8"/>
    <w:rsid w:val="00136716"/>
    <w:rsid w:val="00142294"/>
    <w:rsid w:val="00147935"/>
    <w:rsid w:val="00156E1B"/>
    <w:rsid w:val="00160D2D"/>
    <w:rsid w:val="00161704"/>
    <w:rsid w:val="00175F1A"/>
    <w:rsid w:val="00180D60"/>
    <w:rsid w:val="00183E9E"/>
    <w:rsid w:val="00195AB0"/>
    <w:rsid w:val="00197358"/>
    <w:rsid w:val="001A54C7"/>
    <w:rsid w:val="001B358C"/>
    <w:rsid w:val="001B381E"/>
    <w:rsid w:val="001B4D04"/>
    <w:rsid w:val="001E55E9"/>
    <w:rsid w:val="001E5C36"/>
    <w:rsid w:val="001F4C69"/>
    <w:rsid w:val="001F6145"/>
    <w:rsid w:val="0020639F"/>
    <w:rsid w:val="002068F7"/>
    <w:rsid w:val="00213215"/>
    <w:rsid w:val="00215518"/>
    <w:rsid w:val="00217B27"/>
    <w:rsid w:val="00224B15"/>
    <w:rsid w:val="00232ADC"/>
    <w:rsid w:val="00235069"/>
    <w:rsid w:val="00236222"/>
    <w:rsid w:val="00244700"/>
    <w:rsid w:val="0029473A"/>
    <w:rsid w:val="002A3A1A"/>
    <w:rsid w:val="002A624C"/>
    <w:rsid w:val="002C06B1"/>
    <w:rsid w:val="002C5BF0"/>
    <w:rsid w:val="00311B44"/>
    <w:rsid w:val="00317F29"/>
    <w:rsid w:val="00334084"/>
    <w:rsid w:val="00337228"/>
    <w:rsid w:val="003457E0"/>
    <w:rsid w:val="003525D6"/>
    <w:rsid w:val="003557FD"/>
    <w:rsid w:val="0035656E"/>
    <w:rsid w:val="00364FEE"/>
    <w:rsid w:val="00381D96"/>
    <w:rsid w:val="003833F6"/>
    <w:rsid w:val="003870A4"/>
    <w:rsid w:val="00395B8B"/>
    <w:rsid w:val="003A29DC"/>
    <w:rsid w:val="003B19C9"/>
    <w:rsid w:val="003B6B01"/>
    <w:rsid w:val="003D151A"/>
    <w:rsid w:val="003D26AC"/>
    <w:rsid w:val="003D3D9F"/>
    <w:rsid w:val="003D73B5"/>
    <w:rsid w:val="003D7BB3"/>
    <w:rsid w:val="003E5CB4"/>
    <w:rsid w:val="00401B28"/>
    <w:rsid w:val="00406E53"/>
    <w:rsid w:val="00411EBA"/>
    <w:rsid w:val="00412B6A"/>
    <w:rsid w:val="0042198F"/>
    <w:rsid w:val="00421BA4"/>
    <w:rsid w:val="00430159"/>
    <w:rsid w:val="004321A6"/>
    <w:rsid w:val="00436F8F"/>
    <w:rsid w:val="0044664C"/>
    <w:rsid w:val="004736D3"/>
    <w:rsid w:val="0048337C"/>
    <w:rsid w:val="004A6FA7"/>
    <w:rsid w:val="004B3D6B"/>
    <w:rsid w:val="004E6CED"/>
    <w:rsid w:val="004F3176"/>
    <w:rsid w:val="005011D8"/>
    <w:rsid w:val="00511113"/>
    <w:rsid w:val="005157F1"/>
    <w:rsid w:val="0051648B"/>
    <w:rsid w:val="005176A1"/>
    <w:rsid w:val="00521231"/>
    <w:rsid w:val="00530802"/>
    <w:rsid w:val="00553537"/>
    <w:rsid w:val="0056046C"/>
    <w:rsid w:val="005639AA"/>
    <w:rsid w:val="00575493"/>
    <w:rsid w:val="005754AF"/>
    <w:rsid w:val="005907FF"/>
    <w:rsid w:val="00592242"/>
    <w:rsid w:val="00593C9C"/>
    <w:rsid w:val="00597E6A"/>
    <w:rsid w:val="005A2D44"/>
    <w:rsid w:val="005A6779"/>
    <w:rsid w:val="005C7E7A"/>
    <w:rsid w:val="006062C9"/>
    <w:rsid w:val="00610103"/>
    <w:rsid w:val="00613F62"/>
    <w:rsid w:val="00624F0D"/>
    <w:rsid w:val="00632C0F"/>
    <w:rsid w:val="0064612D"/>
    <w:rsid w:val="00653CA8"/>
    <w:rsid w:val="00673910"/>
    <w:rsid w:val="0067546B"/>
    <w:rsid w:val="00683B6D"/>
    <w:rsid w:val="00694551"/>
    <w:rsid w:val="006A54F8"/>
    <w:rsid w:val="006B053A"/>
    <w:rsid w:val="006D593D"/>
    <w:rsid w:val="006E0AEC"/>
    <w:rsid w:val="00702BD5"/>
    <w:rsid w:val="00724201"/>
    <w:rsid w:val="00741416"/>
    <w:rsid w:val="0075320D"/>
    <w:rsid w:val="0075551A"/>
    <w:rsid w:val="00756614"/>
    <w:rsid w:val="00761E16"/>
    <w:rsid w:val="007732D8"/>
    <w:rsid w:val="007848F2"/>
    <w:rsid w:val="00786F74"/>
    <w:rsid w:val="00793424"/>
    <w:rsid w:val="007B0962"/>
    <w:rsid w:val="007B2B3F"/>
    <w:rsid w:val="007B4D45"/>
    <w:rsid w:val="007B5703"/>
    <w:rsid w:val="007B595F"/>
    <w:rsid w:val="007C2564"/>
    <w:rsid w:val="0080110B"/>
    <w:rsid w:val="00804317"/>
    <w:rsid w:val="00804C08"/>
    <w:rsid w:val="00804F47"/>
    <w:rsid w:val="008051EC"/>
    <w:rsid w:val="00805914"/>
    <w:rsid w:val="00846C8D"/>
    <w:rsid w:val="008632E2"/>
    <w:rsid w:val="00867A45"/>
    <w:rsid w:val="00874C7A"/>
    <w:rsid w:val="008838E4"/>
    <w:rsid w:val="008850EF"/>
    <w:rsid w:val="0088550D"/>
    <w:rsid w:val="0089351F"/>
    <w:rsid w:val="00894273"/>
    <w:rsid w:val="00894808"/>
    <w:rsid w:val="00897836"/>
    <w:rsid w:val="008A50BF"/>
    <w:rsid w:val="008A6274"/>
    <w:rsid w:val="008B5E5A"/>
    <w:rsid w:val="008C4786"/>
    <w:rsid w:val="008C66D4"/>
    <w:rsid w:val="008D0763"/>
    <w:rsid w:val="008D6B4F"/>
    <w:rsid w:val="008D6F2F"/>
    <w:rsid w:val="008F1FBB"/>
    <w:rsid w:val="008F4131"/>
    <w:rsid w:val="008F5933"/>
    <w:rsid w:val="00910058"/>
    <w:rsid w:val="00911461"/>
    <w:rsid w:val="0094636D"/>
    <w:rsid w:val="0095254E"/>
    <w:rsid w:val="009647C0"/>
    <w:rsid w:val="0099364C"/>
    <w:rsid w:val="009A17EF"/>
    <w:rsid w:val="009B2E4C"/>
    <w:rsid w:val="009B6641"/>
    <w:rsid w:val="009C3111"/>
    <w:rsid w:val="009C6797"/>
    <w:rsid w:val="009D44A9"/>
    <w:rsid w:val="009E6A8F"/>
    <w:rsid w:val="009E7E7C"/>
    <w:rsid w:val="009F0BB4"/>
    <w:rsid w:val="009F39F4"/>
    <w:rsid w:val="00A217AC"/>
    <w:rsid w:val="00A22821"/>
    <w:rsid w:val="00A2410E"/>
    <w:rsid w:val="00A41438"/>
    <w:rsid w:val="00A62D0D"/>
    <w:rsid w:val="00A74562"/>
    <w:rsid w:val="00A77A9A"/>
    <w:rsid w:val="00A8338E"/>
    <w:rsid w:val="00A85F58"/>
    <w:rsid w:val="00A9339A"/>
    <w:rsid w:val="00AB31C4"/>
    <w:rsid w:val="00AC0530"/>
    <w:rsid w:val="00AC0EE4"/>
    <w:rsid w:val="00AD2E2F"/>
    <w:rsid w:val="00AD35E7"/>
    <w:rsid w:val="00B05A34"/>
    <w:rsid w:val="00B075F4"/>
    <w:rsid w:val="00B1613E"/>
    <w:rsid w:val="00B221AF"/>
    <w:rsid w:val="00B26273"/>
    <w:rsid w:val="00B42080"/>
    <w:rsid w:val="00B47637"/>
    <w:rsid w:val="00B5744A"/>
    <w:rsid w:val="00B660A6"/>
    <w:rsid w:val="00B6765A"/>
    <w:rsid w:val="00B72929"/>
    <w:rsid w:val="00B73DCD"/>
    <w:rsid w:val="00B74670"/>
    <w:rsid w:val="00B74CD4"/>
    <w:rsid w:val="00B753BE"/>
    <w:rsid w:val="00BB5D30"/>
    <w:rsid w:val="00BB7F96"/>
    <w:rsid w:val="00BC46BC"/>
    <w:rsid w:val="00BC4A8A"/>
    <w:rsid w:val="00BD5C65"/>
    <w:rsid w:val="00BE3ABF"/>
    <w:rsid w:val="00BE573D"/>
    <w:rsid w:val="00C10F2D"/>
    <w:rsid w:val="00C172D3"/>
    <w:rsid w:val="00C27A1B"/>
    <w:rsid w:val="00C329F7"/>
    <w:rsid w:val="00C336F0"/>
    <w:rsid w:val="00C36B07"/>
    <w:rsid w:val="00C41299"/>
    <w:rsid w:val="00C44BAE"/>
    <w:rsid w:val="00C468CE"/>
    <w:rsid w:val="00C61036"/>
    <w:rsid w:val="00C7716D"/>
    <w:rsid w:val="00C82700"/>
    <w:rsid w:val="00C8346A"/>
    <w:rsid w:val="00C879EB"/>
    <w:rsid w:val="00CA3972"/>
    <w:rsid w:val="00CA7A37"/>
    <w:rsid w:val="00CB56E1"/>
    <w:rsid w:val="00CB57A4"/>
    <w:rsid w:val="00CB70B4"/>
    <w:rsid w:val="00CB7F13"/>
    <w:rsid w:val="00CC3B5C"/>
    <w:rsid w:val="00CD214F"/>
    <w:rsid w:val="00CD7116"/>
    <w:rsid w:val="00CE372F"/>
    <w:rsid w:val="00CE5D68"/>
    <w:rsid w:val="00CF5AAE"/>
    <w:rsid w:val="00D068F5"/>
    <w:rsid w:val="00D1538D"/>
    <w:rsid w:val="00D250BD"/>
    <w:rsid w:val="00D36331"/>
    <w:rsid w:val="00D371B1"/>
    <w:rsid w:val="00D51176"/>
    <w:rsid w:val="00D65A2B"/>
    <w:rsid w:val="00D75BFA"/>
    <w:rsid w:val="00D76F67"/>
    <w:rsid w:val="00D83296"/>
    <w:rsid w:val="00D90DAB"/>
    <w:rsid w:val="00DA6B94"/>
    <w:rsid w:val="00DB4215"/>
    <w:rsid w:val="00DC51C9"/>
    <w:rsid w:val="00DC5E83"/>
    <w:rsid w:val="00DC733A"/>
    <w:rsid w:val="00DD37EB"/>
    <w:rsid w:val="00DE2335"/>
    <w:rsid w:val="00DF2951"/>
    <w:rsid w:val="00DF457C"/>
    <w:rsid w:val="00DF7E1E"/>
    <w:rsid w:val="00E074A8"/>
    <w:rsid w:val="00E205BF"/>
    <w:rsid w:val="00E2249A"/>
    <w:rsid w:val="00E27B86"/>
    <w:rsid w:val="00E36297"/>
    <w:rsid w:val="00E479CA"/>
    <w:rsid w:val="00E67A48"/>
    <w:rsid w:val="00E77852"/>
    <w:rsid w:val="00E94CE0"/>
    <w:rsid w:val="00E94EED"/>
    <w:rsid w:val="00ED351F"/>
    <w:rsid w:val="00ED7870"/>
    <w:rsid w:val="00EF0FFE"/>
    <w:rsid w:val="00F00636"/>
    <w:rsid w:val="00F00D2E"/>
    <w:rsid w:val="00F0703D"/>
    <w:rsid w:val="00F26642"/>
    <w:rsid w:val="00F4280D"/>
    <w:rsid w:val="00F46114"/>
    <w:rsid w:val="00F51E54"/>
    <w:rsid w:val="00F65FEC"/>
    <w:rsid w:val="00F70F26"/>
    <w:rsid w:val="00F72E85"/>
    <w:rsid w:val="00F76F0E"/>
    <w:rsid w:val="00F85287"/>
    <w:rsid w:val="00F90590"/>
    <w:rsid w:val="00FA0BB3"/>
    <w:rsid w:val="00FB02DC"/>
    <w:rsid w:val="00FB213D"/>
    <w:rsid w:val="00FB4EDC"/>
    <w:rsid w:val="00FB623B"/>
    <w:rsid w:val="00FC0B4B"/>
    <w:rsid w:val="00FD11CB"/>
    <w:rsid w:val="00FD56D6"/>
    <w:rsid w:val="00FD7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AC0C9"/>
  <w15:chartTrackingRefBased/>
  <w15:docId w15:val="{61EBCA64-D303-9D45-A86F-D162A37B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360" w:lineRule="auto"/>
      <w:ind w:left="432" w:hanging="432"/>
      <w:jc w:val="both"/>
    </w:pPr>
    <w:rPr>
      <w:sz w:val="24"/>
      <w:lang w:eastAsia="en-US"/>
    </w:rPr>
  </w:style>
  <w:style w:type="paragraph" w:styleId="Heading1">
    <w:name w:val="heading 1"/>
    <w:basedOn w:val="Normal"/>
    <w:next w:val="Normal"/>
    <w:qFormat/>
    <w:pPr>
      <w:keepNext/>
      <w:widowControl w:val="0"/>
      <w:ind w:left="450" w:hanging="450"/>
      <w:outlineLvl w:val="0"/>
    </w:pPr>
    <w:rPr>
      <w:b/>
      <w:u w:val="single"/>
    </w:rPr>
  </w:style>
  <w:style w:type="paragraph" w:styleId="Heading2">
    <w:name w:val="heading 2"/>
    <w:basedOn w:val="Normal"/>
    <w:next w:val="Normal"/>
    <w:qFormat/>
    <w:pPr>
      <w:keepNext/>
      <w:widowControl w:val="0"/>
      <w:spacing w:line="480" w:lineRule="atLeast"/>
      <w:outlineLvl w:val="1"/>
    </w:pPr>
    <w:rPr>
      <w:b/>
      <w:u w:val="single"/>
    </w:rPr>
  </w:style>
  <w:style w:type="paragraph" w:styleId="Heading3">
    <w:name w:val="heading 3"/>
    <w:basedOn w:val="Normal"/>
    <w:next w:val="Normal"/>
    <w:qFormat/>
    <w:pPr>
      <w:keepNext/>
      <w:widowControl w:val="0"/>
      <w:spacing w:line="480" w:lineRule="atLeast"/>
      <w:jc w:val="righ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customStyle="1" w:styleId="FooterChar">
    <w:name w:val="Footer Char"/>
    <w:link w:val="Footer"/>
    <w:uiPriority w:val="99"/>
    <w:rsid w:val="000D200C"/>
    <w:rPr>
      <w:sz w:val="24"/>
      <w:lang w:val="en-GB"/>
    </w:rPr>
  </w:style>
  <w:style w:type="table" w:styleId="TableGrid">
    <w:name w:val="Table Grid"/>
    <w:basedOn w:val="TableNormal"/>
    <w:rsid w:val="000A65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511113"/>
    <w:rPr>
      <w:color w:val="0000FF"/>
      <w:u w:val="single"/>
    </w:rPr>
  </w:style>
  <w:style w:type="paragraph" w:styleId="FootnoteText">
    <w:name w:val="footnote text"/>
    <w:basedOn w:val="Normal"/>
    <w:link w:val="FootnoteTextChar"/>
    <w:rsid w:val="00894273"/>
    <w:rPr>
      <w:sz w:val="20"/>
    </w:rPr>
  </w:style>
  <w:style w:type="character" w:customStyle="1" w:styleId="FootnoteTextChar">
    <w:name w:val="Footnote Text Char"/>
    <w:link w:val="FootnoteText"/>
    <w:rsid w:val="00894273"/>
    <w:rPr>
      <w:lang w:eastAsia="en-US"/>
    </w:rPr>
  </w:style>
  <w:style w:type="character" w:styleId="FootnoteReference">
    <w:name w:val="footnote reference"/>
    <w:rsid w:val="00894273"/>
    <w:rPr>
      <w:vertAlign w:val="superscript"/>
    </w:rPr>
  </w:style>
  <w:style w:type="paragraph" w:customStyle="1" w:styleId="AdviceBoldheading">
    <w:name w:val="Advice Bold heading"/>
    <w:basedOn w:val="Normal"/>
    <w:autoRedefine/>
    <w:qFormat/>
    <w:rsid w:val="005011D8"/>
    <w:pPr>
      <w:widowControl w:val="0"/>
      <w:spacing w:after="120" w:line="480" w:lineRule="auto"/>
      <w:ind w:left="0" w:firstLine="0"/>
    </w:pPr>
    <w:rPr>
      <w:b/>
    </w:rPr>
  </w:style>
  <w:style w:type="paragraph" w:customStyle="1" w:styleId="Adviceitalicheading">
    <w:name w:val="Advice italic heading"/>
    <w:basedOn w:val="AdviceBoldheading"/>
    <w:qFormat/>
    <w:rsid w:val="005907FF"/>
    <w:rPr>
      <w:b w:val="0"/>
      <w:i/>
    </w:rPr>
  </w:style>
  <w:style w:type="paragraph" w:customStyle="1" w:styleId="Adviceparalargegap0">
    <w:name w:val="Advice para large gap"/>
    <w:basedOn w:val="Normal"/>
    <w:autoRedefine/>
    <w:qFormat/>
    <w:rsid w:val="0029473A"/>
    <w:pPr>
      <w:widowControl w:val="0"/>
      <w:tabs>
        <w:tab w:val="num" w:pos="454"/>
      </w:tabs>
      <w:spacing w:after="360" w:line="480" w:lineRule="auto"/>
      <w:ind w:left="454" w:hanging="454"/>
    </w:pPr>
    <w:rPr>
      <w:bCs/>
    </w:rPr>
  </w:style>
  <w:style w:type="paragraph" w:customStyle="1" w:styleId="Style2">
    <w:name w:val="Style2"/>
    <w:basedOn w:val="AdviceBoldheading"/>
    <w:qFormat/>
    <w:rsid w:val="005907FF"/>
    <w:rPr>
      <w:b w:val="0"/>
    </w:rPr>
  </w:style>
  <w:style w:type="paragraph" w:customStyle="1" w:styleId="Advicelargegap">
    <w:name w:val="Advice large gap"/>
    <w:basedOn w:val="Normal"/>
    <w:autoRedefine/>
    <w:qFormat/>
    <w:rsid w:val="0029473A"/>
    <w:pPr>
      <w:widowControl w:val="0"/>
      <w:tabs>
        <w:tab w:val="num" w:pos="907"/>
      </w:tabs>
      <w:spacing w:after="360" w:line="480" w:lineRule="auto"/>
      <w:ind w:left="908" w:hanging="454"/>
    </w:pPr>
  </w:style>
  <w:style w:type="paragraph" w:customStyle="1" w:styleId="Style20">
    <w:name w:val="Style2"/>
    <w:basedOn w:val="1Adviceparalargegap"/>
    <w:next w:val="Style2"/>
    <w:qFormat/>
    <w:rsid w:val="005907FF"/>
    <w:pPr>
      <w:numPr>
        <w:numId w:val="0"/>
      </w:numPr>
    </w:pPr>
  </w:style>
  <w:style w:type="paragraph" w:customStyle="1" w:styleId="adviceparalargegap">
    <w:name w:val="advice para large gap"/>
    <w:basedOn w:val="Normal"/>
    <w:autoRedefine/>
    <w:qFormat/>
    <w:rsid w:val="000F264F"/>
    <w:pPr>
      <w:widowControl w:val="0"/>
      <w:numPr>
        <w:ilvl w:val="2"/>
        <w:numId w:val="7"/>
      </w:numPr>
      <w:spacing w:after="360" w:line="480" w:lineRule="auto"/>
    </w:pPr>
  </w:style>
  <w:style w:type="paragraph" w:customStyle="1" w:styleId="Advicequote">
    <w:name w:val="Advice quote"/>
    <w:basedOn w:val="Normal"/>
    <w:autoRedefine/>
    <w:qFormat/>
    <w:rsid w:val="000F264F"/>
    <w:pPr>
      <w:widowControl w:val="0"/>
      <w:spacing w:after="360" w:line="480" w:lineRule="auto"/>
      <w:ind w:left="0" w:firstLine="0"/>
    </w:pPr>
    <w:rPr>
      <w:sz w:val="20"/>
    </w:rPr>
  </w:style>
  <w:style w:type="paragraph" w:customStyle="1" w:styleId="1Adviceparalargegap">
    <w:name w:val="1. Advice para large gap"/>
    <w:basedOn w:val="1Adviceparasmallgap"/>
    <w:autoRedefine/>
    <w:qFormat/>
    <w:rsid w:val="0089351F"/>
    <w:pPr>
      <w:spacing w:after="360"/>
    </w:pPr>
  </w:style>
  <w:style w:type="paragraph" w:customStyle="1" w:styleId="1Adviceparasmallgap">
    <w:name w:val="1. Advice para small gap"/>
    <w:basedOn w:val="Normal"/>
    <w:autoRedefine/>
    <w:qFormat/>
    <w:rsid w:val="005907FF"/>
    <w:pPr>
      <w:widowControl w:val="0"/>
      <w:numPr>
        <w:numId w:val="1"/>
      </w:numPr>
      <w:spacing w:after="120" w:line="480" w:lineRule="auto"/>
    </w:pPr>
  </w:style>
  <w:style w:type="paragraph" w:customStyle="1" w:styleId="iAdvicesmallgap">
    <w:name w:val="(i) Advice small gap"/>
    <w:basedOn w:val="adviceparalargegap"/>
    <w:autoRedefine/>
    <w:qFormat/>
    <w:rsid w:val="002C06B1"/>
    <w:pPr>
      <w:numPr>
        <w:ilvl w:val="0"/>
        <w:numId w:val="0"/>
      </w:numPr>
      <w:spacing w:after="120"/>
      <w:ind w:left="1928" w:hanging="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69807">
      <w:bodyDiv w:val="1"/>
      <w:marLeft w:val="0"/>
      <w:marRight w:val="0"/>
      <w:marTop w:val="0"/>
      <w:marBottom w:val="0"/>
      <w:divBdr>
        <w:top w:val="none" w:sz="0" w:space="0" w:color="auto"/>
        <w:left w:val="none" w:sz="0" w:space="0" w:color="auto"/>
        <w:bottom w:val="none" w:sz="0" w:space="0" w:color="auto"/>
        <w:right w:val="none" w:sz="0" w:space="0" w:color="auto"/>
      </w:divBdr>
    </w:div>
    <w:div w:id="421487816">
      <w:bodyDiv w:val="1"/>
      <w:marLeft w:val="0"/>
      <w:marRight w:val="0"/>
      <w:marTop w:val="0"/>
      <w:marBottom w:val="0"/>
      <w:divBdr>
        <w:top w:val="none" w:sz="0" w:space="0" w:color="auto"/>
        <w:left w:val="none" w:sz="0" w:space="0" w:color="auto"/>
        <w:bottom w:val="none" w:sz="0" w:space="0" w:color="auto"/>
        <w:right w:val="none" w:sz="0" w:space="0" w:color="auto"/>
      </w:divBdr>
    </w:div>
    <w:div w:id="1101879969">
      <w:bodyDiv w:val="1"/>
      <w:marLeft w:val="375"/>
      <w:marRight w:val="375"/>
      <w:marTop w:val="75"/>
      <w:marBottom w:val="75"/>
      <w:divBdr>
        <w:top w:val="none" w:sz="0" w:space="0" w:color="auto"/>
        <w:left w:val="none" w:sz="0" w:space="0" w:color="auto"/>
        <w:bottom w:val="none" w:sz="0" w:space="0" w:color="auto"/>
        <w:right w:val="none" w:sz="0" w:space="0" w:color="auto"/>
      </w:divBdr>
      <w:divsChild>
        <w:div w:id="11617463">
          <w:marLeft w:val="0"/>
          <w:marRight w:val="0"/>
          <w:marTop w:val="0"/>
          <w:marBottom w:val="0"/>
          <w:divBdr>
            <w:top w:val="none" w:sz="0" w:space="0" w:color="auto"/>
            <w:left w:val="none" w:sz="0" w:space="0" w:color="auto"/>
            <w:bottom w:val="none" w:sz="0" w:space="0" w:color="auto"/>
            <w:right w:val="none" w:sz="0" w:space="0" w:color="auto"/>
          </w:divBdr>
          <w:divsChild>
            <w:div w:id="919563392">
              <w:marLeft w:val="0"/>
              <w:marRight w:val="0"/>
              <w:marTop w:val="0"/>
              <w:marBottom w:val="0"/>
              <w:divBdr>
                <w:top w:val="none" w:sz="0" w:space="0" w:color="auto"/>
                <w:left w:val="none" w:sz="0" w:space="0" w:color="auto"/>
                <w:bottom w:val="none" w:sz="0" w:space="0" w:color="auto"/>
                <w:right w:val="none" w:sz="0" w:space="0" w:color="auto"/>
              </w:divBdr>
              <w:divsChild>
                <w:div w:id="122606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066483">
      <w:bodyDiv w:val="1"/>
      <w:marLeft w:val="0"/>
      <w:marRight w:val="0"/>
      <w:marTop w:val="0"/>
      <w:marBottom w:val="0"/>
      <w:divBdr>
        <w:top w:val="none" w:sz="0" w:space="0" w:color="auto"/>
        <w:left w:val="none" w:sz="0" w:space="0" w:color="auto"/>
        <w:bottom w:val="none" w:sz="0" w:space="0" w:color="auto"/>
        <w:right w:val="none" w:sz="0" w:space="0" w:color="auto"/>
      </w:divBdr>
    </w:div>
    <w:div w:id="1523395504">
      <w:bodyDiv w:val="1"/>
      <w:marLeft w:val="0"/>
      <w:marRight w:val="0"/>
      <w:marTop w:val="0"/>
      <w:marBottom w:val="0"/>
      <w:divBdr>
        <w:top w:val="none" w:sz="0" w:space="0" w:color="auto"/>
        <w:left w:val="none" w:sz="0" w:space="0" w:color="auto"/>
        <w:bottom w:val="none" w:sz="0" w:space="0" w:color="auto"/>
        <w:right w:val="none" w:sz="0" w:space="0" w:color="auto"/>
      </w:divBdr>
    </w:div>
    <w:div w:id="1782411307">
      <w:bodyDiv w:val="1"/>
      <w:marLeft w:val="0"/>
      <w:marRight w:val="0"/>
      <w:marTop w:val="0"/>
      <w:marBottom w:val="0"/>
      <w:divBdr>
        <w:top w:val="none" w:sz="0" w:space="0" w:color="auto"/>
        <w:left w:val="none" w:sz="0" w:space="0" w:color="auto"/>
        <w:bottom w:val="none" w:sz="0" w:space="0" w:color="auto"/>
        <w:right w:val="none" w:sz="0" w:space="0" w:color="auto"/>
      </w:divBdr>
      <w:divsChild>
        <w:div w:id="1058476203">
          <w:marLeft w:val="0"/>
          <w:marRight w:val="0"/>
          <w:marTop w:val="0"/>
          <w:marBottom w:val="0"/>
          <w:divBdr>
            <w:top w:val="none" w:sz="0" w:space="0" w:color="auto"/>
            <w:left w:val="none" w:sz="0" w:space="0" w:color="auto"/>
            <w:bottom w:val="none" w:sz="0" w:space="0" w:color="auto"/>
            <w:right w:val="none" w:sz="0" w:space="0" w:color="auto"/>
          </w:divBdr>
          <w:divsChild>
            <w:div w:id="959722027">
              <w:marLeft w:val="0"/>
              <w:marRight w:val="0"/>
              <w:marTop w:val="0"/>
              <w:marBottom w:val="0"/>
              <w:divBdr>
                <w:top w:val="none" w:sz="0" w:space="0" w:color="auto"/>
                <w:left w:val="none" w:sz="0" w:space="0" w:color="auto"/>
                <w:bottom w:val="none" w:sz="0" w:space="0" w:color="auto"/>
                <w:right w:val="none" w:sz="0" w:space="0" w:color="auto"/>
              </w:divBdr>
              <w:divsChild>
                <w:div w:id="21055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318756">
      <w:bodyDiv w:val="1"/>
      <w:marLeft w:val="0"/>
      <w:marRight w:val="0"/>
      <w:marTop w:val="0"/>
      <w:marBottom w:val="0"/>
      <w:divBdr>
        <w:top w:val="none" w:sz="0" w:space="0" w:color="auto"/>
        <w:left w:val="none" w:sz="0" w:space="0" w:color="auto"/>
        <w:bottom w:val="none" w:sz="0" w:space="0" w:color="auto"/>
        <w:right w:val="none" w:sz="0" w:space="0" w:color="auto"/>
      </w:divBdr>
    </w:div>
    <w:div w:id="1946424311">
      <w:bodyDiv w:val="1"/>
      <w:marLeft w:val="0"/>
      <w:marRight w:val="0"/>
      <w:marTop w:val="0"/>
      <w:marBottom w:val="0"/>
      <w:divBdr>
        <w:top w:val="none" w:sz="0" w:space="0" w:color="auto"/>
        <w:left w:val="none" w:sz="0" w:space="0" w:color="auto"/>
        <w:bottom w:val="none" w:sz="0" w:space="0" w:color="auto"/>
        <w:right w:val="none" w:sz="0" w:space="0" w:color="auto"/>
      </w:divBdr>
    </w:div>
    <w:div w:id="1951819822">
      <w:bodyDiv w:val="1"/>
      <w:marLeft w:val="0"/>
      <w:marRight w:val="0"/>
      <w:marTop w:val="0"/>
      <w:marBottom w:val="0"/>
      <w:divBdr>
        <w:top w:val="none" w:sz="0" w:space="0" w:color="auto"/>
        <w:left w:val="none" w:sz="0" w:space="0" w:color="auto"/>
        <w:bottom w:val="none" w:sz="0" w:space="0" w:color="auto"/>
        <w:right w:val="none" w:sz="0" w:space="0" w:color="auto"/>
      </w:divBdr>
    </w:div>
    <w:div w:id="2132742527">
      <w:bodyDiv w:val="1"/>
      <w:marLeft w:val="0"/>
      <w:marRight w:val="0"/>
      <w:marTop w:val="0"/>
      <w:marBottom w:val="0"/>
      <w:divBdr>
        <w:top w:val="none" w:sz="0" w:space="0" w:color="auto"/>
        <w:left w:val="none" w:sz="0" w:space="0" w:color="auto"/>
        <w:bottom w:val="none" w:sz="0" w:space="0" w:color="auto"/>
        <w:right w:val="none" w:sz="0" w:space="0" w:color="auto"/>
      </w:divBdr>
      <w:divsChild>
        <w:div w:id="642927130">
          <w:blockQuote w:val="1"/>
          <w:marLeft w:val="450"/>
          <w:marRight w:val="450"/>
          <w:marTop w:val="0"/>
          <w:marBottom w:val="0"/>
          <w:divBdr>
            <w:top w:val="none" w:sz="0" w:space="0" w:color="auto"/>
            <w:left w:val="none" w:sz="0" w:space="0" w:color="auto"/>
            <w:bottom w:val="none" w:sz="0" w:space="0" w:color="auto"/>
            <w:right w:val="none" w:sz="0" w:space="0" w:color="auto"/>
          </w:divBdr>
        </w:div>
        <w:div w:id="1600334761">
          <w:blockQuote w:val="1"/>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vid.brounger@fieldcour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4761</Words>
  <Characters>22859</Characters>
  <Application>Microsoft Office Word</Application>
  <DocSecurity>4</DocSecurity>
  <Lines>190</Lines>
  <Paragraphs>55</Paragraphs>
  <ScaleCrop>false</ScaleCrop>
  <HeadingPairs>
    <vt:vector size="2" baseType="variant">
      <vt:variant>
        <vt:lpstr>Title</vt:lpstr>
      </vt:variant>
      <vt:variant>
        <vt:i4>1</vt:i4>
      </vt:variant>
    </vt:vector>
  </HeadingPairs>
  <TitlesOfParts>
    <vt:vector size="1" baseType="lpstr">
      <vt:lpstr>IN THE COUNTY COURT</vt:lpstr>
    </vt:vector>
  </TitlesOfParts>
  <Company> </Company>
  <LinksUpToDate>false</LinksUpToDate>
  <CharactersWithSpaces>27565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COUNTY COURT</dc:title>
  <dc:subject/>
  <dc:creator>Microsoft Office User</dc:creator>
  <cp:keywords/>
  <dc:description/>
  <cp:lastModifiedBy>Compton, Jonathan</cp:lastModifiedBy>
  <cp:revision>2</cp:revision>
  <cp:lastPrinted>2022-09-20T19:38:00Z</cp:lastPrinted>
  <dcterms:created xsi:type="dcterms:W3CDTF">2022-09-21T06:06:00Z</dcterms:created>
  <dcterms:modified xsi:type="dcterms:W3CDTF">2022-09-21T06:06:00Z</dcterms:modified>
</cp:coreProperties>
</file>